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E3815" w14:textId="77777777"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77777777" w:rsidR="000A2833" w:rsidRPr="00455A3C" w:rsidRDefault="0018797C" w:rsidP="00AC35C4">
      <w:pPr>
        <w:pStyle w:val="F2-zkladn"/>
        <w:rPr>
          <w:b/>
          <w:sz w:val="28"/>
          <w:szCs w:val="28"/>
        </w:rPr>
      </w:pPr>
      <w:r>
        <w:rPr>
          <w:noProof/>
        </w:rPr>
        <mc:AlternateContent>
          <mc:Choice Requires="wps">
            <w:drawing>
              <wp:inline distT="0" distB="0" distL="0" distR="0" wp14:anchorId="65142C85" wp14:editId="51FCCA1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14:paraId="18675A51" w14:textId="6C1D5415" w:rsidR="000A2833" w:rsidRPr="00455A3C" w:rsidRDefault="0018797C" w:rsidP="00AC35C4">
      <w:pPr>
        <w:pStyle w:val="F2-zkladn"/>
        <w:tabs>
          <w:tab w:val="right" w:pos="9070"/>
        </w:tabs>
      </w:pPr>
      <w:r>
        <w:rPr>
          <w:noProof/>
        </w:rPr>
        <mc:AlternateContent>
          <mc:Choice Requires="wps">
            <w:drawing>
              <wp:inline distT="0" distB="0" distL="0" distR="0" wp14:anchorId="69E119FC" wp14:editId="7BAEC5A4">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7238DA">
        <w:t>30</w:t>
      </w:r>
      <w:r w:rsidR="00A30105" w:rsidRPr="00455A3C">
        <w:t xml:space="preserve">. </w:t>
      </w:r>
      <w:r w:rsidR="00A6391E">
        <w:t>lis</w:t>
      </w:r>
      <w:r w:rsidR="00F37FA5">
        <w:t>t</w:t>
      </w:r>
      <w:r w:rsidR="00A6391E">
        <w:t>opadu</w:t>
      </w:r>
      <w:r w:rsidR="00A30105" w:rsidRPr="00455A3C">
        <w:t xml:space="preserve"> 20</w:t>
      </w:r>
      <w:r w:rsidR="00A7414F" w:rsidRPr="00455A3C">
        <w:t>21</w:t>
      </w:r>
    </w:p>
    <w:p w14:paraId="65C9A76F" w14:textId="77777777" w:rsidR="007238DA" w:rsidRPr="007238DA" w:rsidRDefault="007238DA" w:rsidP="007238DA">
      <w:pPr>
        <w:pStyle w:val="Nzev"/>
        <w:jc w:val="both"/>
        <w:rPr>
          <w:bCs w:val="0"/>
          <w:kern w:val="0"/>
          <w:sz w:val="28"/>
          <w:szCs w:val="28"/>
        </w:rPr>
      </w:pPr>
      <w:bookmarkStart w:id="0" w:name="_GoBack"/>
      <w:r w:rsidRPr="007238DA">
        <w:rPr>
          <w:bCs w:val="0"/>
          <w:kern w:val="0"/>
          <w:sz w:val="28"/>
          <w:szCs w:val="28"/>
        </w:rPr>
        <w:t xml:space="preserve">Výhled </w:t>
      </w:r>
      <w:proofErr w:type="spellStart"/>
      <w:r w:rsidRPr="007238DA">
        <w:rPr>
          <w:bCs w:val="0"/>
          <w:kern w:val="0"/>
          <w:sz w:val="28"/>
          <w:szCs w:val="28"/>
        </w:rPr>
        <w:t>Fidelity</w:t>
      </w:r>
      <w:proofErr w:type="spellEnd"/>
      <w:r w:rsidRPr="007238DA">
        <w:rPr>
          <w:bCs w:val="0"/>
          <w:kern w:val="0"/>
          <w:sz w:val="28"/>
          <w:szCs w:val="28"/>
        </w:rPr>
        <w:t xml:space="preserve"> International: Nemovitosti v roce 2022? </w:t>
      </w:r>
    </w:p>
    <w:bookmarkEnd w:id="0"/>
    <w:p w14:paraId="5C6DB0E0" w14:textId="77777777" w:rsidR="007238DA" w:rsidRPr="00087E0C" w:rsidRDefault="007238DA" w:rsidP="007238DA">
      <w:pPr>
        <w:spacing w:after="120"/>
        <w:rPr>
          <w:b/>
        </w:rPr>
      </w:pPr>
      <w:r w:rsidRPr="00087E0C">
        <w:rPr>
          <w:b/>
        </w:rPr>
        <w:t xml:space="preserve">Nemovitosti vstupují do nového věku. Inflace se opět </w:t>
      </w:r>
      <w:r>
        <w:rPr>
          <w:b/>
        </w:rPr>
        <w:t>vynořila</w:t>
      </w:r>
      <w:r w:rsidRPr="00087E0C">
        <w:rPr>
          <w:b/>
        </w:rPr>
        <w:t xml:space="preserve">, </w:t>
      </w:r>
      <w:r>
        <w:rPr>
          <w:b/>
        </w:rPr>
        <w:t xml:space="preserve">co je </w:t>
      </w:r>
      <w:r w:rsidRPr="00087E0C">
        <w:rPr>
          <w:b/>
        </w:rPr>
        <w:t xml:space="preserve">"nový normál" </w:t>
      </w:r>
      <w:r>
        <w:rPr>
          <w:b/>
        </w:rPr>
        <w:t>u využívání</w:t>
      </w:r>
      <w:r w:rsidRPr="00087E0C">
        <w:rPr>
          <w:b/>
        </w:rPr>
        <w:t xml:space="preserve"> kanceláří je</w:t>
      </w:r>
      <w:r>
        <w:rPr>
          <w:b/>
        </w:rPr>
        <w:t xml:space="preserve"> stále otázkou</w:t>
      </w:r>
      <w:r w:rsidRPr="00087E0C">
        <w:rPr>
          <w:b/>
        </w:rPr>
        <w:t xml:space="preserve"> a přechod na nízkouhlíkové technologie mění vztah mezi pronajímatelem a nájemcem.</w:t>
      </w:r>
    </w:p>
    <w:p w14:paraId="1B145EFD" w14:textId="77777777" w:rsidR="007238DA" w:rsidRPr="00087E0C" w:rsidRDefault="007238DA" w:rsidP="007238DA">
      <w:pPr>
        <w:spacing w:after="120"/>
        <w:rPr>
          <w:b/>
        </w:rPr>
      </w:pPr>
      <w:r w:rsidRPr="00087E0C">
        <w:rPr>
          <w:b/>
        </w:rPr>
        <w:t>Nový věk</w:t>
      </w:r>
    </w:p>
    <w:p w14:paraId="70DD164D" w14:textId="77777777" w:rsidR="007238DA" w:rsidRDefault="007238DA" w:rsidP="007238DA">
      <w:pPr>
        <w:spacing w:after="120"/>
      </w:pPr>
      <w:r>
        <w:t xml:space="preserve">Po dlouhém období býčího růstu evropských nemovitostních trhů, téměř nepřerušeného covidem-19, se možná nacházíme na prahu "třetího věku" této třídy aktiv. V prvním období do 80. let 20. století neexistovaly žádné spolehlivé indexy a minimum přeshraničních investic. </w:t>
      </w:r>
      <w:r w:rsidRPr="003F7B14">
        <w:t xml:space="preserve">Druhá éra, </w:t>
      </w:r>
      <w:r>
        <w:t xml:space="preserve">během níž se </w:t>
      </w:r>
      <w:r w:rsidRPr="003F7B14">
        <w:t xml:space="preserve">globální indexy </w:t>
      </w:r>
      <w:r>
        <w:t xml:space="preserve">staly </w:t>
      </w:r>
      <w:r w:rsidRPr="003F7B14">
        <w:t xml:space="preserve">standardem a nemovitosti </w:t>
      </w:r>
      <w:r>
        <w:t>se převtělily do</w:t>
      </w:r>
      <w:r w:rsidRPr="003F7B14">
        <w:t xml:space="preserve"> finanční</w:t>
      </w:r>
      <w:r>
        <w:t>ch</w:t>
      </w:r>
      <w:r w:rsidRPr="003F7B14">
        <w:t xml:space="preserve"> produkt</w:t>
      </w:r>
      <w:r>
        <w:t xml:space="preserve">ů prostřednictvím struktur, </w:t>
      </w:r>
      <w:r w:rsidRPr="003F7B14">
        <w:t>jako jsou hypot</w:t>
      </w:r>
      <w:r>
        <w:t>eční zástavní listy,</w:t>
      </w:r>
      <w:r w:rsidRPr="00043413">
        <w:t xml:space="preserve"> </w:t>
      </w:r>
      <w:r>
        <w:t xml:space="preserve">trvala </w:t>
      </w:r>
      <w:r w:rsidRPr="003F7B14">
        <w:t>od konce 80. let do současnosti.</w:t>
      </w:r>
    </w:p>
    <w:p w14:paraId="746BA3C2" w14:textId="77777777" w:rsidR="007238DA" w:rsidRDefault="007238DA" w:rsidP="007238DA">
      <w:pPr>
        <w:spacing w:after="120"/>
      </w:pPr>
      <w:r>
        <w:t>Samozřejmě budou nadále platit standardní pravidla – rovnováha nabídky a poptávky, schopnost nájemců platit nájemné, amortizace a zastarávání, a dokonce i "</w:t>
      </w:r>
      <w:proofErr w:type="spellStart"/>
      <w:r>
        <w:t>wow</w:t>
      </w:r>
      <w:proofErr w:type="spellEnd"/>
      <w:r>
        <w:t xml:space="preserve">" efekt, který nájemníka přiměje k tomu, aby si nemovitost pronajal. </w:t>
      </w:r>
    </w:p>
    <w:p w14:paraId="5057B800" w14:textId="77777777" w:rsidR="007238DA" w:rsidRDefault="007238DA" w:rsidP="007238DA">
      <w:pPr>
        <w:spacing w:after="120"/>
      </w:pPr>
      <w:r>
        <w:t>Ze tří témat, která budou poznamenávat nemovitostní trh v roce 2022, je však pouze jedno "tradiční" – inflace. Ostatní témata mění pravidla hry trhu a budou vyžadovat zcela nové způsoby pohledu na reality. Každé přináší náklady, rizika i příležitosti, ale dopad jejich nesprávného posouzení může být značný.</w:t>
      </w:r>
    </w:p>
    <w:p w14:paraId="148C4EF1" w14:textId="77777777" w:rsidR="007238DA" w:rsidRPr="003F7B14" w:rsidRDefault="007238DA" w:rsidP="007238DA">
      <w:pPr>
        <w:spacing w:after="120"/>
        <w:rPr>
          <w:b/>
        </w:rPr>
      </w:pPr>
      <w:r w:rsidRPr="003F7B14">
        <w:rPr>
          <w:b/>
        </w:rPr>
        <w:t>1. Inflační drak</w:t>
      </w:r>
    </w:p>
    <w:p w14:paraId="26D0CF39" w14:textId="77777777" w:rsidR="007238DA" w:rsidRDefault="007238DA" w:rsidP="007238DA">
      <w:pPr>
        <w:spacing w:after="120"/>
      </w:pPr>
      <w:r>
        <w:t>Inflační drak, kterého centrální banky v minulých desetiletích „skolily“, hrozí, že se znovu vztyčí. Pokud se to stane, nemovitosti mohou držet krok, a poskytnout tak užitečné zajištění. Když ceny v ekonomice rostou obecně, příjmy firem (v nominálním, ne-li v reálném vyjádření) mají také tendenci růst a nájemné rovněž. Zejména v kontinentální Evropě jsou prakticky všechny nájemní smlouvy automaticky indexovány v souladu s inflací (obvykle indexem spotřebitelských cen), což může investorům poskytnout dodatečný komfort.</w:t>
      </w:r>
    </w:p>
    <w:p w14:paraId="1C2EC2AF" w14:textId="77777777" w:rsidR="007238DA" w:rsidRDefault="007238DA" w:rsidP="007238DA">
      <w:pPr>
        <w:spacing w:after="120"/>
      </w:pPr>
      <w:r>
        <w:t xml:space="preserve">„Předpokládat, že z takového scénáře budou mít prospěch všechny nemovitosti, je však nebezpečné kvůli dvěma faktorům. Za prvé, pokud nájemné na volném trhu v dané lokalitě neroste spolu s "indexovaným" nájemným, nájemníci po vypršení nájemní smlouvy budovu jednoduše opustí, aby využili levnějšího nájemného jinde. Za druhé, nemovitosti v minulosti držely krok s mírným růstem cen, ale pokud se inflace vymkne kontrole (např. 10 % nebo více), nemovitosti mají tendenci být méně korelované,“ vysvětluje Neil </w:t>
      </w:r>
      <w:proofErr w:type="spellStart"/>
      <w:r>
        <w:t>Cable</w:t>
      </w:r>
      <w:proofErr w:type="spellEnd"/>
      <w:r>
        <w:t xml:space="preserve">, ředitel evropských nemovitostních investic </w:t>
      </w:r>
      <w:proofErr w:type="spellStart"/>
      <w:r>
        <w:t>Fidelity</w:t>
      </w:r>
      <w:proofErr w:type="spellEnd"/>
      <w:r>
        <w:t xml:space="preserve"> International.</w:t>
      </w:r>
    </w:p>
    <w:p w14:paraId="421BA522" w14:textId="77777777" w:rsidR="007238DA" w:rsidRDefault="007238DA" w:rsidP="007238DA">
      <w:pPr>
        <w:spacing w:after="120"/>
      </w:pPr>
      <w:r>
        <w:lastRenderedPageBreak/>
        <w:t>Investovat do kvalitních budov s vysokými ekologickými standardy na trzích, kde není převis nabídky, a poskytovat je nájemcům s udržitelnými obchodními modely, bude zásadní k udržení kroku s přetrvávající inflaci, i když nájemné obecně roste.</w:t>
      </w:r>
    </w:p>
    <w:p w14:paraId="592A8D29" w14:textId="77777777" w:rsidR="007238DA" w:rsidRPr="009F2A65" w:rsidRDefault="007238DA" w:rsidP="007238DA">
      <w:pPr>
        <w:spacing w:after="120"/>
        <w:jc w:val="center"/>
        <w:rPr>
          <w:i/>
        </w:rPr>
      </w:pPr>
      <w:r w:rsidRPr="009F2A65">
        <w:rPr>
          <w:i/>
        </w:rPr>
        <w:t>Realitní investiční fondy ukazují, jakou cestou se může ubírat sektorové složení soukromých nemovitostních fondů.</w:t>
      </w:r>
    </w:p>
    <w:p w14:paraId="0C7A8B1F" w14:textId="77777777" w:rsidR="007238DA" w:rsidRPr="003F7B14" w:rsidRDefault="007238DA" w:rsidP="007238DA">
      <w:pPr>
        <w:spacing w:after="120"/>
        <w:rPr>
          <w:b/>
        </w:rPr>
      </w:pPr>
      <w:r w:rsidRPr="003F7B14">
        <w:rPr>
          <w:b/>
        </w:rPr>
        <w:t xml:space="preserve">2. Změna </w:t>
      </w:r>
      <w:r>
        <w:rPr>
          <w:b/>
        </w:rPr>
        <w:t xml:space="preserve">ve využívání </w:t>
      </w:r>
      <w:r w:rsidRPr="003F7B14">
        <w:rPr>
          <w:b/>
        </w:rPr>
        <w:t>budov</w:t>
      </w:r>
    </w:p>
    <w:p w14:paraId="32F5C0AE" w14:textId="77777777" w:rsidR="007238DA" w:rsidRDefault="007238DA" w:rsidP="007238DA">
      <w:pPr>
        <w:spacing w:after="120"/>
      </w:pPr>
      <w:r>
        <w:t xml:space="preserve">Odborníci na nemovitosti si zvykli hovořit o určitých aspektech trhu téměř s jistotou: co dělá z budov nemovitosti prvotřídní a co druhořadé, zda jsou některá města vždy žádaná určitými typy společností (např. finanční služby v Londýně) nebo kolik investic bude v budoucnu potřeba do modernizace budovy (např. životnost klimatizačních jednotek). „Částečně to bylo způsobeno tím, že lidé měli tendenci využívat budovy stejným způsobem – všichni jsme pracovali v kancelářích, zboží se vyrábělo ve skladech, věci jsme nakupovali v obchodech. V posledních letech jsme stále více nakupovali online a méně na hlavních třídách a velké sklady na dálničních křižovatkách se staly "novým maloobchodem". Nyní je otázkou, do jaké míry budou kanceláře ovlivněny novými hybridními pracovními modely po covid-19. Způsobí tyto změny v chování trvale nižší strukturální poptávku?“ říká Neil </w:t>
      </w:r>
      <w:proofErr w:type="spellStart"/>
      <w:r>
        <w:t>Cable</w:t>
      </w:r>
      <w:proofErr w:type="spellEnd"/>
      <w:r>
        <w:t>.</w:t>
      </w:r>
    </w:p>
    <w:p w14:paraId="397B2D25" w14:textId="77777777" w:rsidR="007238DA" w:rsidRDefault="007238DA" w:rsidP="007238DA">
      <w:pPr>
        <w:spacing w:after="120"/>
      </w:pPr>
      <w:r w:rsidRPr="00BE160F">
        <w:t>Stejně tak stále častější využívání technologií, a to nejen k nakupování, ale i ke komunikaci</w:t>
      </w:r>
      <w:r>
        <w:t>.</w:t>
      </w:r>
      <w:r w:rsidRPr="00BE160F">
        <w:t xml:space="preserve"> </w:t>
      </w:r>
      <w:r>
        <w:t>„</w:t>
      </w:r>
      <w:proofErr w:type="spellStart"/>
      <w:r>
        <w:t>Zoomování</w:t>
      </w:r>
      <w:proofErr w:type="spellEnd"/>
      <w:r w:rsidRPr="00BE160F">
        <w:t>" z domova zvyšuje potřebu většího počtu a efektivnějších datových center v blízkosti měst</w:t>
      </w:r>
      <w:r>
        <w:t xml:space="preserve"> k </w:t>
      </w:r>
      <w:r w:rsidRPr="00BE160F">
        <w:t>zajištěn</w:t>
      </w:r>
      <w:r>
        <w:t>í</w:t>
      </w:r>
      <w:r w:rsidRPr="00BE160F">
        <w:t xml:space="preserve"> spolehliv</w:t>
      </w:r>
      <w:r>
        <w:t>é</w:t>
      </w:r>
      <w:r w:rsidRPr="00BE160F">
        <w:t xml:space="preserve"> rychlost</w:t>
      </w:r>
      <w:r>
        <w:t>i</w:t>
      </w:r>
      <w:r w:rsidRPr="00BE160F">
        <w:t xml:space="preserve">. </w:t>
      </w:r>
      <w:r>
        <w:t>„</w:t>
      </w:r>
      <w:r w:rsidRPr="00BE160F">
        <w:t xml:space="preserve">Všichni stárneme – potřebujeme více různých typů volnočasových aktivit, které </w:t>
      </w:r>
      <w:r>
        <w:t xml:space="preserve">nás </w:t>
      </w:r>
      <w:r w:rsidRPr="00BE160F">
        <w:t>udrží v kondici, různé typy bydlení a péče ve stáří a více zdravotnických zařízení.</w:t>
      </w:r>
    </w:p>
    <w:p w14:paraId="0D3F6CE2" w14:textId="5419E1AA" w:rsidR="00B10EC0" w:rsidRDefault="00B10EC0" w:rsidP="00B10EC0">
      <w:pPr>
        <w:spacing w:after="120"/>
      </w:pPr>
      <w:r w:rsidRPr="000C63A1">
        <w:t xml:space="preserve">Žádný z těchto trendů není nový (dokonce i "práce z domova" rostla před pandemií tempem 4-5 % ročně), ale tyto trendy se </w:t>
      </w:r>
      <w:r>
        <w:t>výrazně</w:t>
      </w:r>
      <w:r w:rsidRPr="000C63A1">
        <w:t xml:space="preserve"> zrychlují</w:t>
      </w:r>
      <w:r>
        <w:t xml:space="preserve"> s tím</w:t>
      </w:r>
      <w:r w:rsidRPr="000C63A1">
        <w:t xml:space="preserve">, </w:t>
      </w:r>
      <w:r>
        <w:t xml:space="preserve">jak se </w:t>
      </w:r>
      <w:r w:rsidRPr="000C63A1">
        <w:t xml:space="preserve">svět přizpůsobuje stavu po pandemii. Nákup a prodej nemovitostí trvá dlouho, takže je </w:t>
      </w:r>
      <w:r>
        <w:t>vyloženě</w:t>
      </w:r>
      <w:r w:rsidRPr="000C63A1">
        <w:t xml:space="preserve"> nutné začít diverzifikovat portfolia již nyní, aby odpovídala moderní ekonomice, v níž lidé a podniky využívají budovy zcela jinými způsoby než v minulosti. </w:t>
      </w:r>
      <w:r>
        <w:t>Realitní investiční fondy</w:t>
      </w:r>
      <w:r w:rsidRPr="000C63A1">
        <w:t xml:space="preserve"> skutečně ukazují, jak</w:t>
      </w:r>
      <w:r>
        <w:t>ou</w:t>
      </w:r>
      <w:r w:rsidRPr="000C63A1">
        <w:t xml:space="preserve"> </w:t>
      </w:r>
      <w:r>
        <w:t>cestou se může ubírat</w:t>
      </w:r>
      <w:r w:rsidRPr="000C63A1">
        <w:t xml:space="preserve"> </w:t>
      </w:r>
      <w:r>
        <w:t xml:space="preserve">sektorové složení </w:t>
      </w:r>
      <w:r w:rsidRPr="000C63A1">
        <w:t>soukrom</w:t>
      </w:r>
      <w:r>
        <w:t>ých nemovitostních fondů</w:t>
      </w:r>
      <w:r w:rsidRPr="000C63A1">
        <w:t xml:space="preserve"> (viz graf 6).</w:t>
      </w:r>
    </w:p>
    <w:p w14:paraId="09D29CB3" w14:textId="46D55F00" w:rsidR="000F4953" w:rsidRPr="000F4953" w:rsidRDefault="000F4953" w:rsidP="000F4953">
      <w:pPr>
        <w:spacing w:after="120"/>
        <w:rPr>
          <w:i/>
        </w:rPr>
      </w:pPr>
      <w:r>
        <w:rPr>
          <w:noProof/>
        </w:rPr>
        <w:drawing>
          <wp:anchor distT="0" distB="0" distL="114300" distR="114300" simplePos="0" relativeHeight="251658240" behindDoc="1" locked="0" layoutInCell="1" allowOverlap="1" wp14:anchorId="4B823FBE" wp14:editId="39EA7EEE">
            <wp:simplePos x="0" y="0"/>
            <wp:positionH relativeFrom="column">
              <wp:posOffset>-14605</wp:posOffset>
            </wp:positionH>
            <wp:positionV relativeFrom="paragraph">
              <wp:posOffset>333375</wp:posOffset>
            </wp:positionV>
            <wp:extent cx="5756910" cy="2267585"/>
            <wp:effectExtent l="0" t="0" r="0" b="0"/>
            <wp:wrapTight wrapText="bothSides">
              <wp:wrapPolygon edited="0">
                <wp:start x="0" y="0"/>
                <wp:lineTo x="0" y="21412"/>
                <wp:lineTo x="21514" y="21412"/>
                <wp:lineTo x="2151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 real1.jpg"/>
                    <pic:cNvPicPr/>
                  </pic:nvPicPr>
                  <pic:blipFill>
                    <a:blip r:embed="rId9">
                      <a:extLst>
                        <a:ext uri="{28A0092B-C50C-407E-A947-70E740481C1C}">
                          <a14:useLocalDpi xmlns:a14="http://schemas.microsoft.com/office/drawing/2010/main" val="0"/>
                        </a:ext>
                      </a:extLst>
                    </a:blip>
                    <a:stretch>
                      <a:fillRect/>
                    </a:stretch>
                  </pic:blipFill>
                  <pic:spPr>
                    <a:xfrm>
                      <a:off x="0" y="0"/>
                      <a:ext cx="5756910" cy="2267585"/>
                    </a:xfrm>
                    <a:prstGeom prst="rect">
                      <a:avLst/>
                    </a:prstGeom>
                  </pic:spPr>
                </pic:pic>
              </a:graphicData>
            </a:graphic>
          </wp:anchor>
        </w:drawing>
      </w:r>
      <w:r w:rsidRPr="000F4953">
        <w:rPr>
          <w:i/>
        </w:rPr>
        <w:t>Graf 6: Veřejné trhy ukazují, jak mohou v budoucnu vypadat soukromé trhy</w:t>
      </w:r>
    </w:p>
    <w:p w14:paraId="6D9BC5FB" w14:textId="77777777" w:rsidR="00CE2A97" w:rsidRPr="00D41991" w:rsidRDefault="00CE2A97" w:rsidP="00CE2A97">
      <w:pPr>
        <w:spacing w:after="120"/>
      </w:pPr>
      <w:r w:rsidRPr="00D41991">
        <w:t xml:space="preserve">Veřejné trhy se již přizpůsobují budoucnosti (složení indexu </w:t>
      </w:r>
      <w:proofErr w:type="spellStart"/>
      <w:r w:rsidRPr="00D41991">
        <w:t>Nareit</w:t>
      </w:r>
      <w:proofErr w:type="spellEnd"/>
      <w:r w:rsidRPr="00D41991">
        <w:t xml:space="preserve"> REIT)</w:t>
      </w:r>
    </w:p>
    <w:p w14:paraId="0C072672" w14:textId="77777777" w:rsidR="00CE2A97" w:rsidRPr="00D41991" w:rsidRDefault="00CE2A97" w:rsidP="00CE2A97">
      <w:pPr>
        <w:spacing w:after="120"/>
      </w:pPr>
      <w:r w:rsidRPr="00D41991">
        <w:lastRenderedPageBreak/>
        <w:t xml:space="preserve">Soukromé nemovitostní fondy musí postupovat rychleji (MSCI </w:t>
      </w:r>
      <w:proofErr w:type="spellStart"/>
      <w:r w:rsidRPr="00D41991">
        <w:t>Global</w:t>
      </w:r>
      <w:proofErr w:type="spellEnd"/>
      <w:r w:rsidRPr="00D41991">
        <w:t xml:space="preserve"> </w:t>
      </w:r>
      <w:proofErr w:type="spellStart"/>
      <w:r w:rsidRPr="00D41991">
        <w:t>Annual</w:t>
      </w:r>
      <w:proofErr w:type="spellEnd"/>
      <w:r w:rsidRPr="00D41991">
        <w:t xml:space="preserve"> index)</w:t>
      </w:r>
    </w:p>
    <w:p w14:paraId="095AAB6C" w14:textId="77777777" w:rsidR="00CE2A97" w:rsidRPr="00D41991" w:rsidRDefault="00CE2A97" w:rsidP="00CE2A97">
      <w:pPr>
        <w:spacing w:after="120"/>
      </w:pPr>
      <w:r w:rsidRPr="00D41991">
        <w:t xml:space="preserve">Zdroj: </w:t>
      </w:r>
      <w:proofErr w:type="spellStart"/>
      <w:r w:rsidRPr="00D41991">
        <w:t>Asreit</w:t>
      </w:r>
      <w:proofErr w:type="spellEnd"/>
      <w:r w:rsidRPr="00D41991">
        <w:t xml:space="preserve">, stav k 15. říjnu 2021. Index </w:t>
      </w:r>
      <w:proofErr w:type="spellStart"/>
      <w:r w:rsidRPr="00D41991">
        <w:t>Nareit</w:t>
      </w:r>
      <w:proofErr w:type="spellEnd"/>
      <w:r w:rsidRPr="00D41991">
        <w:t xml:space="preserve"> nezahrnuje infrastrukturu.</w:t>
      </w:r>
    </w:p>
    <w:p w14:paraId="766F1710" w14:textId="77777777" w:rsidR="00CE2A97" w:rsidRPr="00D41991" w:rsidRDefault="00CE2A97" w:rsidP="00CE2A97">
      <w:pPr>
        <w:spacing w:after="120"/>
      </w:pPr>
      <w:r w:rsidRPr="00D41991">
        <w:t xml:space="preserve">Zdroj: </w:t>
      </w:r>
      <w:proofErr w:type="spellStart"/>
      <w:r w:rsidRPr="00D41991">
        <w:t>Nareite</w:t>
      </w:r>
      <w:proofErr w:type="spellEnd"/>
      <w:r w:rsidRPr="00D41991">
        <w:t xml:space="preserve">, s. r. o: MSCI </w:t>
      </w:r>
      <w:proofErr w:type="spellStart"/>
      <w:r w:rsidRPr="00D41991">
        <w:t>Global</w:t>
      </w:r>
      <w:proofErr w:type="spellEnd"/>
      <w:r w:rsidRPr="00D41991">
        <w:t xml:space="preserve"> </w:t>
      </w:r>
      <w:proofErr w:type="spellStart"/>
      <w:r w:rsidRPr="00D41991">
        <w:t>Annual</w:t>
      </w:r>
      <w:proofErr w:type="spellEnd"/>
      <w:r w:rsidRPr="00D41991">
        <w:t xml:space="preserve"> Index, prosinec 2020.</w:t>
      </w:r>
    </w:p>
    <w:p w14:paraId="606E25AF" w14:textId="77777777" w:rsidR="00CE2A97" w:rsidRPr="000A093A" w:rsidRDefault="00CE2A97" w:rsidP="00CE2A97">
      <w:pPr>
        <w:spacing w:after="120"/>
        <w:rPr>
          <w:b/>
        </w:rPr>
      </w:pPr>
      <w:r w:rsidRPr="000A093A">
        <w:rPr>
          <w:b/>
        </w:rPr>
        <w:t>3. Uhlíková neutralita</w:t>
      </w:r>
    </w:p>
    <w:p w14:paraId="58D30D7F" w14:textId="77777777" w:rsidR="00CE2A97" w:rsidRDefault="00CE2A97" w:rsidP="00CE2A97">
      <w:pPr>
        <w:spacing w:after="120"/>
      </w:pPr>
      <w:r w:rsidRPr="000A093A">
        <w:t>Nem</w:t>
      </w:r>
      <w:r>
        <w:t>ovitosti mají zásadní význam při dosahován</w:t>
      </w:r>
      <w:r w:rsidRPr="000A093A">
        <w:t xml:space="preserve">í cílů </w:t>
      </w:r>
      <w:r>
        <w:t xml:space="preserve">Pařížské dohody o klimatu, která má </w:t>
      </w:r>
      <w:r w:rsidRPr="000A093A">
        <w:t xml:space="preserve">omezit globální oteplování na 1,5 stupně. </w:t>
      </w:r>
      <w:r>
        <w:t>Rychlá řešení</w:t>
      </w:r>
      <w:r w:rsidRPr="000A093A">
        <w:t xml:space="preserve"> ke snížení emisí – instalace účinného osvětlení, přidání inteligentních měřičů pro lepší řízení spotřeby energie nebo recyklace odpadu – jsou </w:t>
      </w:r>
      <w:r>
        <w:t xml:space="preserve">spíše </w:t>
      </w:r>
      <w:r w:rsidRPr="000A093A">
        <w:t>okrajová a odvětví se nyní musí orientovat nejen na odstranění plynových kotlů, ale také na to, čím je nahradit.</w:t>
      </w:r>
    </w:p>
    <w:p w14:paraId="33B9B01B" w14:textId="77777777" w:rsidR="00CE2A97" w:rsidRDefault="00CE2A97" w:rsidP="00CE2A97">
      <w:pPr>
        <w:spacing w:after="120"/>
      </w:pPr>
      <w:r w:rsidRPr="000A093A">
        <w:t xml:space="preserve">Nejlepší manažeři nemovitostních fondů byli v minulosti skvělými vyjednavači a odborníky na </w:t>
      </w:r>
      <w:r>
        <w:t>obchodní</w:t>
      </w:r>
      <w:r w:rsidRPr="000A093A">
        <w:t xml:space="preserve"> právo. </w:t>
      </w:r>
      <w:r>
        <w:t>Stručně řečeno,</w:t>
      </w:r>
      <w:r w:rsidRPr="000A093A">
        <w:t xml:space="preserve"> povinností pronajímatele</w:t>
      </w:r>
      <w:r>
        <w:t xml:space="preserve"> </w:t>
      </w:r>
      <w:r w:rsidRPr="000A093A">
        <w:t>bylo poskytnout budovu a povinností nájemce platit nájemné, přičemž tento vztah byl zcela založen na nájemní smlouvě. Situace se však mění.</w:t>
      </w:r>
    </w:p>
    <w:p w14:paraId="75A5D605" w14:textId="77777777" w:rsidR="00CE2A97" w:rsidRPr="00AE53E7" w:rsidRDefault="00CE2A97" w:rsidP="00CE2A97">
      <w:pPr>
        <w:spacing w:after="120"/>
      </w:pPr>
      <w:r w:rsidRPr="000A093A">
        <w:t xml:space="preserve">Co když nájemce nešetrně znečišťuje životní prostředí? Měl by se pronajímatel starat a může vůbec něco dělat, pokud </w:t>
      </w:r>
      <w:r>
        <w:t xml:space="preserve">jinak </w:t>
      </w:r>
      <w:r w:rsidRPr="000A093A">
        <w:t>nájemce plní své povinnosti vyplývající z nájemní smlouvy? A co nájemce, který je sám "čistý", ale ve svém dodavatelském řetězci obchoduje s muniční společností nebo těžařem uhlí? Historicky tyto oblasti neměly s pronajímatelem nic společného. Nyní se stávají ústředním faktorem toho, zda je budova úspěšnou investicí či nikoli, protože investoři začínají požadovat, aby byl "dopad" (environmentální, ale i sociální) měřen, monitorován a zlepšován. Cesta k</w:t>
      </w:r>
      <w:r>
        <w:t xml:space="preserve">e karbonové neutralitě </w:t>
      </w:r>
      <w:r w:rsidRPr="000A093A">
        <w:t>musí být demonstrována jasným zlepš</w:t>
      </w:r>
      <w:r>
        <w:t>ování</w:t>
      </w:r>
      <w:r w:rsidRPr="000A093A">
        <w:t xml:space="preserve"> každý rok, </w:t>
      </w:r>
      <w:r>
        <w:t>nikoli pouze</w:t>
      </w:r>
      <w:r w:rsidRPr="000A093A">
        <w:t xml:space="preserve"> jako vzdálená politická </w:t>
      </w:r>
      <w:r>
        <w:t>fráze</w:t>
      </w:r>
      <w:r w:rsidRPr="000A093A">
        <w:t>.</w:t>
      </w:r>
    </w:p>
    <w:p w14:paraId="76107254" w14:textId="77777777" w:rsidR="00CE2A97" w:rsidRDefault="00CE2A97" w:rsidP="00CE2A97">
      <w:pPr>
        <w:spacing w:after="120"/>
      </w:pPr>
      <w:r>
        <w:t>Proto je přijatelné</w:t>
      </w:r>
      <w:r w:rsidRPr="000A093A">
        <w:t xml:space="preserve">, aby se </w:t>
      </w:r>
      <w:r>
        <w:t>pronajímatelé</w:t>
      </w:r>
      <w:r w:rsidRPr="000A093A">
        <w:t xml:space="preserve"> zabývali environmentálními aktivitami, </w:t>
      </w:r>
      <w:r>
        <w:t xml:space="preserve">cíli </w:t>
      </w:r>
      <w:r w:rsidRPr="000A093A">
        <w:t xml:space="preserve">nebo </w:t>
      </w:r>
      <w:r>
        <w:t>přístupem</w:t>
      </w:r>
      <w:r w:rsidRPr="000A093A">
        <w:t xml:space="preserve"> </w:t>
      </w:r>
      <w:r>
        <w:t xml:space="preserve">svých nájemníků, </w:t>
      </w:r>
      <w:r w:rsidRPr="000A093A">
        <w:t>bez ohledu na povinnosti vyplývající z nájemní smlouvy. Většina cílů</w:t>
      </w:r>
      <w:r>
        <w:t xml:space="preserve"> uhlíkové neutrality</w:t>
      </w:r>
      <w:r w:rsidRPr="000A093A">
        <w:t xml:space="preserve"> byla stanovena na rok 2035, 20</w:t>
      </w:r>
      <w:r>
        <w:t xml:space="preserve">40 nebo později, ale tyto cíle kryjí </w:t>
      </w:r>
      <w:r w:rsidRPr="000A093A">
        <w:t>naléhavost opatření potřebných</w:t>
      </w:r>
      <w:r>
        <w:t xml:space="preserve"> už</w:t>
      </w:r>
      <w:r w:rsidRPr="000A093A">
        <w:t xml:space="preserve"> nyní. Vzhledem k riziku, že </w:t>
      </w:r>
      <w:r>
        <w:t xml:space="preserve">by </w:t>
      </w:r>
      <w:r w:rsidRPr="000A093A">
        <w:t xml:space="preserve">se budovy v budoucnu </w:t>
      </w:r>
      <w:r>
        <w:t xml:space="preserve">mohly </w:t>
      </w:r>
      <w:r w:rsidRPr="000A093A">
        <w:t>st</w:t>
      </w:r>
      <w:r>
        <w:t>át</w:t>
      </w:r>
      <w:r w:rsidRPr="000A093A">
        <w:t xml:space="preserve"> "</w:t>
      </w:r>
      <w:r>
        <w:t>odepsanými</w:t>
      </w:r>
      <w:r w:rsidRPr="000A093A">
        <w:t xml:space="preserve">" (např. pokud nebudou splňovat přísnější "zelené" předpisy a nebudou moci být </w:t>
      </w:r>
      <w:r>
        <w:t xml:space="preserve">v důsledky </w:t>
      </w:r>
      <w:r w:rsidRPr="000A093A">
        <w:t xml:space="preserve">pronajímány), si investoři nemohou dovolit </w:t>
      </w:r>
      <w:r>
        <w:t>vy</w:t>
      </w:r>
      <w:r w:rsidRPr="000A093A">
        <w:t>čk</w:t>
      </w:r>
      <w:r>
        <w:t>áv</w:t>
      </w:r>
      <w:r w:rsidRPr="000A093A">
        <w:t>at.</w:t>
      </w:r>
    </w:p>
    <w:p w14:paraId="6FFEEBBC" w14:textId="77777777" w:rsidR="00CE2A97" w:rsidRPr="000A093A" w:rsidRDefault="00CE2A97" w:rsidP="00CE2A97">
      <w:pPr>
        <w:spacing w:after="120"/>
      </w:pPr>
      <w:r w:rsidRPr="009F2A65">
        <w:t>Navzdory výzvám</w:t>
      </w:r>
      <w:r>
        <w:t xml:space="preserve"> týkajících se nákladů, i samotných technologií</w:t>
      </w:r>
      <w:r w:rsidRPr="009F2A65">
        <w:t xml:space="preserve">, být úspěšný zítra znamená začít přeskupovat svá aktiva již </w:t>
      </w:r>
      <w:r>
        <w:t xml:space="preserve">dnes, a to i v případě </w:t>
      </w:r>
      <w:r w:rsidRPr="009F2A65">
        <w:t>přechod</w:t>
      </w:r>
      <w:r>
        <w:t>u</w:t>
      </w:r>
      <w:r w:rsidRPr="009F2A65">
        <w:t xml:space="preserve"> na nízkouhlíko</w:t>
      </w:r>
      <w:r>
        <w:t>vou ekonomiku.</w:t>
      </w:r>
      <w:r w:rsidRPr="009F2A65">
        <w:t xml:space="preserve"> </w:t>
      </w:r>
      <w:r>
        <w:t>V</w:t>
      </w:r>
      <w:r w:rsidRPr="009F2A65">
        <w:t xml:space="preserve"> kratším horizontu</w:t>
      </w:r>
      <w:r>
        <w:t xml:space="preserve"> zase musí být aktiva </w:t>
      </w:r>
      <w:r w:rsidRPr="007C53CC">
        <w:t>připravena na inflaci i měnící se způsob využití budov.</w:t>
      </w:r>
    </w:p>
    <w:p w14:paraId="21A688CE" w14:textId="77777777" w:rsidR="00CE2A97" w:rsidRDefault="00CE2A97" w:rsidP="00CE2A97"/>
    <w:p w14:paraId="0CDB03E8" w14:textId="77777777" w:rsidR="00CE2A97" w:rsidRPr="00F13311" w:rsidRDefault="00CE2A97" w:rsidP="00CE2A97">
      <w:r w:rsidRPr="00F13311">
        <w:t>Důležité upozornění</w:t>
      </w:r>
    </w:p>
    <w:p w14:paraId="4931902E" w14:textId="77777777" w:rsidR="00CE2A97" w:rsidRPr="00F13311" w:rsidRDefault="00CE2A97" w:rsidP="00CE2A97">
      <w:pPr>
        <w:pStyle w:val="Normlnweb"/>
        <w:shd w:val="clear" w:color="auto" w:fill="FFFFFF"/>
        <w:spacing w:line="360" w:lineRule="atLeast"/>
        <w:rPr>
          <w:rFonts w:asciiTheme="minorHAnsi" w:eastAsiaTheme="minorHAnsi" w:hAnsiTheme="minorHAnsi" w:cstheme="minorBidi"/>
          <w:lang w:eastAsia="en-US"/>
        </w:rPr>
      </w:pPr>
      <w:r w:rsidRPr="00F13311">
        <w:rPr>
          <w:rFonts w:asciiTheme="minorHAnsi" w:eastAsiaTheme="minorHAnsi" w:hAnsiTheme="minorHAnsi" w:cstheme="minorBidi"/>
          <w:lang w:eastAsia="en-US"/>
        </w:rPr>
        <w:t xml:space="preserve">Tento dokument nesmí být bez předchozího souhlasu rozmnožován nebo rozšiřován. </w:t>
      </w:r>
    </w:p>
    <w:p w14:paraId="0D7517B2" w14:textId="77777777" w:rsidR="00CE2A97" w:rsidRPr="00F13311" w:rsidRDefault="00CE2A97" w:rsidP="00CE2A97">
      <w:pPr>
        <w:pStyle w:val="Normlnweb"/>
        <w:shd w:val="clear" w:color="auto" w:fill="FFFFFF"/>
        <w:spacing w:line="360" w:lineRule="atLeast"/>
        <w:rPr>
          <w:rFonts w:asciiTheme="minorHAnsi" w:eastAsiaTheme="minorHAnsi" w:hAnsiTheme="minorHAnsi" w:cstheme="minorBidi"/>
          <w:lang w:eastAsia="en-US"/>
        </w:rPr>
      </w:pP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International poskytuje informace pouze o svých produktech a neposkytuje investiční poradenství na základě individuálních potřeb, jinak než konkrétně řádně stanovené oprávněnou společností při formální komunikaci s klientem. </w:t>
      </w:r>
    </w:p>
    <w:p w14:paraId="601AB91D" w14:textId="77777777" w:rsidR="00CE2A97" w:rsidRPr="00F13311" w:rsidRDefault="00CE2A97" w:rsidP="00CE2A97">
      <w:pPr>
        <w:pStyle w:val="Normlnweb"/>
        <w:shd w:val="clear" w:color="auto" w:fill="FFFFFF"/>
        <w:spacing w:line="360" w:lineRule="atLeast"/>
        <w:rPr>
          <w:rFonts w:asciiTheme="minorHAnsi" w:eastAsiaTheme="minorHAnsi" w:hAnsiTheme="minorHAnsi" w:cstheme="minorBidi"/>
          <w:lang w:eastAsia="en-US"/>
        </w:rPr>
      </w:pPr>
      <w:r w:rsidRPr="00F13311">
        <w:rPr>
          <w:rFonts w:asciiTheme="minorHAnsi" w:eastAsiaTheme="minorHAnsi" w:hAnsiTheme="minorHAnsi" w:cstheme="minorBidi"/>
          <w:lang w:eastAsia="en-US"/>
        </w:rPr>
        <w:t xml:space="preserve">Jako </w:t>
      </w: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International je označována skupina společností, které tvoří globální organizaci správy investic poskytující informace o produktech a službách v určených jurisdikcích mimo Severní Ameriku.  Toto písemné </w:t>
      </w:r>
      <w:r w:rsidRPr="00F13311">
        <w:rPr>
          <w:rFonts w:asciiTheme="minorHAnsi" w:eastAsiaTheme="minorHAnsi" w:hAnsiTheme="minorHAnsi" w:cstheme="minorBidi"/>
          <w:lang w:eastAsia="en-US"/>
        </w:rPr>
        <w:lastRenderedPageBreak/>
        <w:t xml:space="preserve">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7C3C893D" w14:textId="77777777" w:rsidR="00CE2A97" w:rsidRPr="00F13311" w:rsidRDefault="00CE2A97" w:rsidP="00CE2A97">
      <w:pPr>
        <w:pStyle w:val="Normlnweb"/>
        <w:shd w:val="clear" w:color="auto" w:fill="FFFFFF"/>
        <w:spacing w:line="360" w:lineRule="atLeast"/>
        <w:rPr>
          <w:rFonts w:asciiTheme="minorHAnsi" w:eastAsiaTheme="minorHAnsi" w:hAnsiTheme="minorHAnsi" w:cstheme="minorBidi"/>
          <w:lang w:eastAsia="en-US"/>
        </w:rPr>
      </w:pPr>
      <w:r w:rsidRPr="00F13311">
        <w:rPr>
          <w:rFonts w:asciiTheme="minorHAnsi" w:eastAsiaTheme="minorHAnsi" w:hAnsiTheme="minorHAnsi" w:cstheme="minorBidi"/>
          <w:lang w:eastAsia="en-US"/>
        </w:rPr>
        <w:t xml:space="preserve">Všechny názory představují stanoviska společnosti </w:t>
      </w: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není-li uvedeno jinak. </w:t>
      </w: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w:t>
      </w: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International a logo </w:t>
      </w: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International a symbol měny F jsou všechno ochrannými známkami společnosti FIL Limited.</w:t>
      </w:r>
    </w:p>
    <w:p w14:paraId="3969E518" w14:textId="77777777" w:rsidR="00CE2A97" w:rsidRPr="00F13311" w:rsidRDefault="00CE2A97" w:rsidP="00CE2A97">
      <w:pPr>
        <w:pStyle w:val="Normlnweb"/>
        <w:shd w:val="clear" w:color="auto" w:fill="FFFFFF"/>
        <w:spacing w:line="360" w:lineRule="atLeast"/>
        <w:rPr>
          <w:rFonts w:asciiTheme="minorHAnsi" w:eastAsiaTheme="minorHAnsi" w:hAnsiTheme="minorHAnsi" w:cstheme="minorBidi"/>
          <w:lang w:eastAsia="en-US"/>
        </w:rPr>
      </w:pPr>
      <w:r w:rsidRPr="00F13311">
        <w:rPr>
          <w:rFonts w:asciiTheme="minorHAnsi" w:eastAsiaTheme="minorHAnsi" w:hAnsiTheme="minorHAnsi" w:cstheme="minorBidi"/>
          <w:lang w:eastAsia="en-US"/>
        </w:rPr>
        <w:t xml:space="preserve">Údaje </w:t>
      </w:r>
      <w:proofErr w:type="spellStart"/>
      <w:r w:rsidRPr="00F13311">
        <w:rPr>
          <w:rFonts w:asciiTheme="minorHAnsi" w:eastAsiaTheme="minorHAnsi" w:hAnsiTheme="minorHAnsi" w:cstheme="minorBidi"/>
          <w:lang w:eastAsia="en-US"/>
        </w:rPr>
        <w:t>nie</w:t>
      </w:r>
      <w:proofErr w:type="spellEnd"/>
      <w:r w:rsidRPr="00F13311">
        <w:rPr>
          <w:rFonts w:asciiTheme="minorHAnsi" w:eastAsiaTheme="minorHAnsi" w:hAnsiTheme="minorHAnsi" w:cstheme="minorBidi"/>
          <w:lang w:eastAsia="en-US"/>
        </w:rPr>
        <w:t xml:space="preserve"> sú auditované. Odborníci provádějící průzkum zahrnují společníky a analytiky.  Jakákoli prohlášení či vyjádření učiněná v tomto dokumentu nejsou pro společnost </w:t>
      </w: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rsidRPr="00F13311">
        <w:rPr>
          <w:rFonts w:asciiTheme="minorHAnsi" w:eastAsiaTheme="minorHAnsi" w:hAnsiTheme="minorHAnsi" w:cstheme="minorBidi"/>
          <w:lang w:eastAsia="en-US"/>
        </w:rPr>
        <w:t>distributořů</w:t>
      </w:r>
      <w:proofErr w:type="spellEnd"/>
      <w:r w:rsidRPr="00F13311">
        <w:rPr>
          <w:rFonts w:asciiTheme="minorHAnsi" w:eastAsiaTheme="minorHAnsi" w:hAnsiTheme="minorHAnsi" w:cstheme="minorBidi"/>
          <w:lang w:eastAsia="en-US"/>
        </w:rPr>
        <w:t xml:space="preserve"> a našeho evropského Centra služeb v Lucembursku, sídlící na adrese FIL (</w:t>
      </w:r>
      <w:proofErr w:type="spellStart"/>
      <w:r w:rsidRPr="00F13311">
        <w:rPr>
          <w:rFonts w:asciiTheme="minorHAnsi" w:eastAsiaTheme="minorHAnsi" w:hAnsiTheme="minorHAnsi" w:cstheme="minorBidi"/>
          <w:lang w:eastAsia="en-US"/>
        </w:rPr>
        <w:t>Luxembourg</w:t>
      </w:r>
      <w:proofErr w:type="spellEnd"/>
      <w:r w:rsidRPr="00F13311">
        <w:rPr>
          <w:rFonts w:asciiTheme="minorHAnsi" w:eastAsiaTheme="minorHAnsi" w:hAnsiTheme="minorHAnsi" w:cstheme="minorBidi"/>
          <w:lang w:eastAsia="en-US"/>
        </w:rPr>
        <w:t xml:space="preserve">) </w:t>
      </w:r>
      <w:proofErr w:type="gramStart"/>
      <w:r w:rsidRPr="00F13311">
        <w:rPr>
          <w:rFonts w:asciiTheme="minorHAnsi" w:eastAsiaTheme="minorHAnsi" w:hAnsiTheme="minorHAnsi" w:cstheme="minorBidi"/>
          <w:lang w:eastAsia="en-US"/>
        </w:rPr>
        <w:t>S.A.</w:t>
      </w:r>
      <w:proofErr w:type="gramEnd"/>
      <w:r w:rsidRPr="00F13311">
        <w:rPr>
          <w:rFonts w:asciiTheme="minorHAnsi" w:eastAsiaTheme="minorHAnsi" w:hAnsiTheme="minorHAnsi" w:cstheme="minorBidi"/>
          <w:lang w:eastAsia="en-US"/>
        </w:rPr>
        <w:t xml:space="preserve"> 2a, </w:t>
      </w:r>
      <w:proofErr w:type="spellStart"/>
      <w:r w:rsidRPr="00F13311">
        <w:rPr>
          <w:rFonts w:asciiTheme="minorHAnsi" w:eastAsiaTheme="minorHAnsi" w:hAnsiTheme="minorHAnsi" w:cstheme="minorBidi"/>
          <w:lang w:eastAsia="en-US"/>
        </w:rPr>
        <w:t>rue</w:t>
      </w:r>
      <w:proofErr w:type="spellEnd"/>
      <w:r w:rsidRPr="00F13311">
        <w:rPr>
          <w:rFonts w:asciiTheme="minorHAnsi" w:eastAsiaTheme="minorHAnsi" w:hAnsiTheme="minorHAnsi" w:cstheme="minorBidi"/>
          <w:lang w:eastAsia="en-US"/>
        </w:rPr>
        <w:t xml:space="preserve"> Albert </w:t>
      </w:r>
      <w:proofErr w:type="spellStart"/>
      <w:r w:rsidRPr="00F13311">
        <w:rPr>
          <w:rFonts w:asciiTheme="minorHAnsi" w:eastAsiaTheme="minorHAnsi" w:hAnsiTheme="minorHAnsi" w:cstheme="minorBidi"/>
          <w:lang w:eastAsia="en-US"/>
        </w:rPr>
        <w:t>Borschette</w:t>
      </w:r>
      <w:proofErr w:type="spellEnd"/>
      <w:r w:rsidRPr="00F13311">
        <w:rPr>
          <w:rFonts w:asciiTheme="minorHAnsi" w:eastAsiaTheme="minorHAnsi" w:hAnsiTheme="minorHAnsi" w:cstheme="minorBidi"/>
          <w:lang w:eastAsia="en-US"/>
        </w:rPr>
        <w:t xml:space="preserve"> BP 2174 L-1021 </w:t>
      </w:r>
      <w:proofErr w:type="spellStart"/>
      <w:r w:rsidRPr="00F13311">
        <w:rPr>
          <w:rFonts w:asciiTheme="minorHAnsi" w:eastAsiaTheme="minorHAnsi" w:hAnsiTheme="minorHAnsi" w:cstheme="minorBidi"/>
          <w:lang w:eastAsia="en-US"/>
        </w:rPr>
        <w:t>Luxembourg</w:t>
      </w:r>
      <w:proofErr w:type="spellEnd"/>
      <w:r w:rsidRPr="00F13311">
        <w:rPr>
          <w:rFonts w:asciiTheme="minorHAnsi" w:eastAsiaTheme="minorHAnsi" w:hAnsiTheme="minorHAnsi" w:cstheme="minorBidi"/>
          <w:lang w:eastAsia="en-US"/>
        </w:rPr>
        <w:t>.</w:t>
      </w:r>
    </w:p>
    <w:p w14:paraId="2E868DFB" w14:textId="77777777" w:rsidR="00CE2A97" w:rsidRPr="00F13311" w:rsidRDefault="00CE2A97" w:rsidP="00CE2A97">
      <w:pPr>
        <w:pStyle w:val="Normlnweb"/>
        <w:shd w:val="clear" w:color="auto" w:fill="FFFFFF"/>
        <w:spacing w:line="360" w:lineRule="atLeast"/>
        <w:rPr>
          <w:rFonts w:asciiTheme="minorHAnsi" w:eastAsiaTheme="minorHAnsi" w:hAnsiTheme="minorHAnsi" w:cstheme="minorBidi"/>
          <w:lang w:eastAsia="en-US"/>
        </w:rPr>
      </w:pPr>
      <w:proofErr w:type="spellStart"/>
      <w:r w:rsidRPr="00F13311">
        <w:rPr>
          <w:rFonts w:asciiTheme="minorHAnsi" w:eastAsiaTheme="minorHAnsi" w:hAnsiTheme="minorHAnsi" w:cstheme="minorBidi"/>
          <w:lang w:eastAsia="en-US"/>
        </w:rPr>
        <w:t>Fidelity</w:t>
      </w:r>
      <w:proofErr w:type="spellEnd"/>
      <w:r w:rsidRPr="00F13311">
        <w:rPr>
          <w:rFonts w:asciiTheme="minorHAnsi" w:eastAsiaTheme="minorHAnsi" w:hAnsiTheme="minorHAnsi" w:cstheme="minorBidi"/>
          <w:lang w:eastAsia="en-US"/>
        </w:rPr>
        <w:t xml:space="preserve"> </w:t>
      </w:r>
      <w:proofErr w:type="spellStart"/>
      <w:r w:rsidRPr="00F13311">
        <w:rPr>
          <w:rFonts w:asciiTheme="minorHAnsi" w:eastAsiaTheme="minorHAnsi" w:hAnsiTheme="minorHAnsi" w:cstheme="minorBidi"/>
          <w:lang w:eastAsia="en-US"/>
        </w:rPr>
        <w:t>Funds</w:t>
      </w:r>
      <w:proofErr w:type="spellEnd"/>
      <w:r w:rsidRPr="00F13311">
        <w:rPr>
          <w:rFonts w:asciiTheme="minorHAnsi" w:eastAsiaTheme="minorHAnsi" w:hAnsiTheme="minorHAnsi" w:cstheme="minorBidi"/>
          <w:lang w:eastAsia="en-US"/>
        </w:rPr>
        <w:t xml:space="preserve"> “FF” je otevřená investiční společnost (SKIPCP) sídlící v Lucembursku, která disponuje akciemi různých tříd. Společnost FIL </w:t>
      </w:r>
      <w:proofErr w:type="spellStart"/>
      <w:r w:rsidRPr="00F13311">
        <w:rPr>
          <w:rFonts w:asciiTheme="minorHAnsi" w:eastAsiaTheme="minorHAnsi" w:hAnsiTheme="minorHAnsi" w:cstheme="minorBidi"/>
          <w:lang w:eastAsia="en-US"/>
        </w:rPr>
        <w:t>Investment</w:t>
      </w:r>
      <w:proofErr w:type="spellEnd"/>
      <w:r w:rsidRPr="00F13311">
        <w:rPr>
          <w:rFonts w:asciiTheme="minorHAnsi" w:eastAsiaTheme="minorHAnsi" w:hAnsiTheme="minorHAnsi" w:cstheme="minorBidi"/>
          <w:lang w:eastAsia="en-US"/>
        </w:rPr>
        <w:t xml:space="preserve"> Management (</w:t>
      </w:r>
      <w:proofErr w:type="spellStart"/>
      <w:r w:rsidRPr="00F13311">
        <w:rPr>
          <w:rFonts w:asciiTheme="minorHAnsi" w:eastAsiaTheme="minorHAnsi" w:hAnsiTheme="minorHAnsi" w:cstheme="minorBidi"/>
          <w:lang w:eastAsia="en-US"/>
        </w:rPr>
        <w:t>Luxembourg</w:t>
      </w:r>
      <w:proofErr w:type="spellEnd"/>
      <w:r w:rsidRPr="00F13311">
        <w:rPr>
          <w:rFonts w:asciiTheme="minorHAnsi" w:eastAsiaTheme="minorHAnsi" w:hAnsiTheme="minorHAnsi" w:cstheme="minorBidi"/>
          <w:lang w:eastAsia="en-US"/>
        </w:rPr>
        <w:t xml:space="preserve">) </w:t>
      </w:r>
      <w:proofErr w:type="gramStart"/>
      <w:r w:rsidRPr="00F13311">
        <w:rPr>
          <w:rFonts w:asciiTheme="minorHAnsi" w:eastAsiaTheme="minorHAnsi" w:hAnsiTheme="minorHAnsi" w:cstheme="minorBidi"/>
          <w:lang w:eastAsia="en-US"/>
        </w:rPr>
        <w:t>S.A.</w:t>
      </w:r>
      <w:proofErr w:type="gramEnd"/>
      <w:r w:rsidRPr="00F13311">
        <w:rPr>
          <w:rFonts w:asciiTheme="minorHAnsi" w:eastAsiaTheme="minorHAnsi" w:hAnsiTheme="minorHAnsi" w:cstheme="minorBidi"/>
          <w:lang w:eastAsia="en-US"/>
        </w:rPr>
        <w:t xml:space="preserve"> si vyhrazuje právo ukončit nabízení </w:t>
      </w:r>
      <w:proofErr w:type="spellStart"/>
      <w:r w:rsidRPr="00F13311">
        <w:rPr>
          <w:rFonts w:asciiTheme="minorHAnsi" w:eastAsiaTheme="minorHAnsi" w:hAnsiTheme="minorHAnsi" w:cstheme="minorBidi"/>
          <w:lang w:eastAsia="en-US"/>
        </w:rPr>
        <w:t>podfondu</w:t>
      </w:r>
      <w:proofErr w:type="spellEnd"/>
      <w:r w:rsidRPr="00F13311">
        <w:rPr>
          <w:rFonts w:asciiTheme="minorHAnsi" w:eastAsiaTheme="minorHAnsi" w:hAnsiTheme="minorHAnsi" w:cstheme="minorBidi"/>
          <w:lang w:eastAsia="en-US"/>
        </w:rPr>
        <w:t xml:space="preserve"> a jeho podílových jednotek na trhu v souladu s článkem 93 písm. a) směrnice 2009/65/ES a článkem 32 písm. a) směrnice 2011/61/EU. Toto ukončení bude předem oznámeno v </w:t>
      </w:r>
      <w:proofErr w:type="spellStart"/>
      <w:proofErr w:type="gramStart"/>
      <w:r w:rsidRPr="00F13311">
        <w:rPr>
          <w:rFonts w:asciiTheme="minorHAnsi" w:eastAsiaTheme="minorHAnsi" w:hAnsiTheme="minorHAnsi" w:cstheme="minorBidi"/>
          <w:lang w:eastAsia="en-US"/>
        </w:rPr>
        <w:t>Lucembursku.Vydala</w:t>
      </w:r>
      <w:proofErr w:type="spellEnd"/>
      <w:proofErr w:type="gramEnd"/>
      <w:r w:rsidRPr="00F13311">
        <w:rPr>
          <w:rFonts w:asciiTheme="minorHAnsi" w:eastAsiaTheme="minorHAnsi" w:hAnsiTheme="minorHAnsi" w:cstheme="minorBidi"/>
          <w:lang w:eastAsia="en-US"/>
        </w:rPr>
        <w:t xml:space="preserve"> společnost FIL (</w:t>
      </w:r>
      <w:proofErr w:type="spellStart"/>
      <w:r w:rsidRPr="00F13311">
        <w:rPr>
          <w:rFonts w:asciiTheme="minorHAnsi" w:eastAsiaTheme="minorHAnsi" w:hAnsiTheme="minorHAnsi" w:cstheme="minorBidi"/>
          <w:lang w:eastAsia="en-US"/>
        </w:rPr>
        <w:t>Luxembourg</w:t>
      </w:r>
      <w:proofErr w:type="spellEnd"/>
      <w:r w:rsidRPr="00F13311">
        <w:rPr>
          <w:rFonts w:asciiTheme="minorHAnsi" w:eastAsiaTheme="minorHAnsi" w:hAnsiTheme="minorHAnsi" w:cstheme="minorBidi"/>
          <w:lang w:eastAsia="en-US"/>
        </w:rPr>
        <w:t>) S.A., které bylo uděleno povolení a podléhá dohledu dozorčí komise CSSF (</w:t>
      </w:r>
      <w:proofErr w:type="spellStart"/>
      <w:r w:rsidRPr="00F13311">
        <w:rPr>
          <w:rFonts w:asciiTheme="minorHAnsi" w:eastAsiaTheme="minorHAnsi" w:hAnsiTheme="minorHAnsi" w:cstheme="minorBidi"/>
          <w:lang w:eastAsia="en-US"/>
        </w:rPr>
        <w:t>Commission</w:t>
      </w:r>
      <w:proofErr w:type="spellEnd"/>
      <w:r w:rsidRPr="00F13311">
        <w:rPr>
          <w:rFonts w:asciiTheme="minorHAnsi" w:eastAsiaTheme="minorHAnsi" w:hAnsiTheme="minorHAnsi" w:cstheme="minorBidi"/>
          <w:lang w:eastAsia="en-US"/>
        </w:rPr>
        <w:t xml:space="preserve"> de </w:t>
      </w:r>
      <w:proofErr w:type="spellStart"/>
      <w:r w:rsidRPr="00F13311">
        <w:rPr>
          <w:rFonts w:asciiTheme="minorHAnsi" w:eastAsiaTheme="minorHAnsi" w:hAnsiTheme="minorHAnsi" w:cstheme="minorBidi"/>
          <w:lang w:eastAsia="en-US"/>
        </w:rPr>
        <w:t>Surveillance</w:t>
      </w:r>
      <w:proofErr w:type="spellEnd"/>
      <w:r w:rsidRPr="00F13311">
        <w:rPr>
          <w:rFonts w:asciiTheme="minorHAnsi" w:eastAsiaTheme="minorHAnsi" w:hAnsiTheme="minorHAnsi" w:cstheme="minorBidi"/>
          <w:lang w:eastAsia="en-US"/>
        </w:rPr>
        <w:t xml:space="preserve"> </w:t>
      </w:r>
      <w:proofErr w:type="spellStart"/>
      <w:r w:rsidRPr="00F13311">
        <w:rPr>
          <w:rFonts w:asciiTheme="minorHAnsi" w:eastAsiaTheme="minorHAnsi" w:hAnsiTheme="minorHAnsi" w:cstheme="minorBidi"/>
          <w:lang w:eastAsia="en-US"/>
        </w:rPr>
        <w:t>du</w:t>
      </w:r>
      <w:proofErr w:type="spellEnd"/>
      <w:r w:rsidRPr="00F13311">
        <w:rPr>
          <w:rFonts w:asciiTheme="minorHAnsi" w:eastAsiaTheme="minorHAnsi" w:hAnsiTheme="minorHAnsi" w:cstheme="minorBidi"/>
          <w:lang w:eastAsia="en-US"/>
        </w:rPr>
        <w:t xml:space="preserve"> </w:t>
      </w:r>
      <w:proofErr w:type="spellStart"/>
      <w:r w:rsidRPr="00F13311">
        <w:rPr>
          <w:rFonts w:asciiTheme="minorHAnsi" w:eastAsiaTheme="minorHAnsi" w:hAnsiTheme="minorHAnsi" w:cstheme="minorBidi"/>
          <w:lang w:eastAsia="en-US"/>
        </w:rPr>
        <w:t>Secteur</w:t>
      </w:r>
      <w:proofErr w:type="spellEnd"/>
      <w:r w:rsidRPr="00F13311">
        <w:rPr>
          <w:rFonts w:asciiTheme="minorHAnsi" w:eastAsiaTheme="minorHAnsi" w:hAnsiTheme="minorHAnsi" w:cstheme="minorBidi"/>
          <w:lang w:eastAsia="en-US"/>
        </w:rPr>
        <w:t xml:space="preserve"> </w:t>
      </w:r>
      <w:proofErr w:type="spellStart"/>
      <w:r w:rsidRPr="00F13311">
        <w:rPr>
          <w:rFonts w:asciiTheme="minorHAnsi" w:eastAsiaTheme="minorHAnsi" w:hAnsiTheme="minorHAnsi" w:cstheme="minorBidi"/>
          <w:lang w:eastAsia="en-US"/>
        </w:rPr>
        <w:t>Financier</w:t>
      </w:r>
      <w:proofErr w:type="spellEnd"/>
      <w:r w:rsidRPr="00F13311">
        <w:rPr>
          <w:rFonts w:asciiTheme="minorHAnsi" w:eastAsiaTheme="minorHAnsi" w:hAnsiTheme="minorHAnsi" w:cstheme="minorBidi"/>
          <w:lang w:eastAsia="en-US"/>
        </w:rPr>
        <w:t xml:space="preserve">). </w:t>
      </w:r>
    </w:p>
    <w:p w14:paraId="7B019BDD" w14:textId="77777777" w:rsidR="00CE2A97" w:rsidRPr="00F13311" w:rsidRDefault="00CE2A97" w:rsidP="00CE2A97">
      <w:pPr>
        <w:pStyle w:val="Normlnweb"/>
        <w:shd w:val="clear" w:color="auto" w:fill="FFFFFF"/>
        <w:spacing w:line="360" w:lineRule="atLeast"/>
        <w:rPr>
          <w:rFonts w:asciiTheme="minorHAnsi" w:eastAsiaTheme="minorHAnsi" w:hAnsiTheme="minorHAnsi" w:cstheme="minorBidi"/>
          <w:lang w:eastAsia="en-US"/>
        </w:rPr>
      </w:pPr>
      <w:r w:rsidRPr="00F13311">
        <w:rPr>
          <w:rFonts w:asciiTheme="minorHAnsi" w:eastAsiaTheme="minorHAnsi" w:hAnsiTheme="minorHAnsi" w:cstheme="minorBidi"/>
          <w:lang w:eastAsia="en-US"/>
        </w:rPr>
        <w:t>Investoři a potenciální investoři mohou získat informace o svých právech ve spojení se stížnostmi a soudními spory na tomto odkazu: https://www.fidelity.cz (v češtině).</w:t>
      </w:r>
    </w:p>
    <w:p w14:paraId="1DF2DD47" w14:textId="3B98EB12" w:rsidR="00AF6D11" w:rsidRPr="00AF6D11" w:rsidRDefault="00CE2A97" w:rsidP="00CE2A97">
      <w:r>
        <w:t>MKAT10120</w:t>
      </w:r>
    </w:p>
    <w:p w14:paraId="6BD4FA4A" w14:textId="1D6C13CF" w:rsidR="001A0CB6" w:rsidRPr="00BC4EF0" w:rsidRDefault="001A0CB6" w:rsidP="00BC4EF0">
      <w:pPr>
        <w:spacing w:line="240" w:lineRule="auto"/>
      </w:pPr>
      <w:r w:rsidRPr="00455A3C">
        <w:rPr>
          <w:b/>
        </w:rPr>
        <w:t>Pro více informací kontaktujte:</w:t>
      </w:r>
    </w:p>
    <w:p w14:paraId="6492E663" w14:textId="5F0B5B06" w:rsidR="001A0CB6" w:rsidRPr="00455A3C" w:rsidRDefault="001A0CB6" w:rsidP="00AC35C4">
      <w:pPr>
        <w:spacing w:before="0" w:line="360" w:lineRule="auto"/>
        <w:rPr>
          <w:b/>
        </w:rPr>
      </w:pPr>
    </w:p>
    <w:p w14:paraId="729D4764" w14:textId="5E724484" w:rsidR="007B49DF" w:rsidRDefault="007B49DF" w:rsidP="00AC35C4">
      <w:pPr>
        <w:spacing w:before="0" w:line="240" w:lineRule="atLeast"/>
        <w:rPr>
          <w:b/>
        </w:rPr>
      </w:pPr>
      <w:r>
        <w:rPr>
          <w:b/>
        </w:rPr>
        <w:t>Eliška Krohová</w:t>
      </w:r>
    </w:p>
    <w:p w14:paraId="16C8C8F5" w14:textId="730EF284" w:rsidR="001A0CB6" w:rsidRPr="00455A3C" w:rsidRDefault="001A0CB6" w:rsidP="00AC35C4">
      <w:pPr>
        <w:spacing w:before="0" w:line="240" w:lineRule="atLeast"/>
        <w:rPr>
          <w:b/>
          <w:bCs/>
        </w:rPr>
      </w:pPr>
      <w:proofErr w:type="spellStart"/>
      <w:r w:rsidRPr="00455A3C">
        <w:rPr>
          <w:b/>
          <w:bCs/>
        </w:rPr>
        <w:t>Crest</w:t>
      </w:r>
      <w:proofErr w:type="spellEnd"/>
      <w:r w:rsidRPr="00455A3C">
        <w:rPr>
          <w:b/>
          <w:bCs/>
        </w:rPr>
        <w:t xml:space="preserve"> Communications, a.s.</w:t>
      </w:r>
    </w:p>
    <w:p w14:paraId="2FD21BC6" w14:textId="5DA61284" w:rsidR="001A0CB6" w:rsidRPr="00455A3C" w:rsidRDefault="001A0CB6" w:rsidP="00AC35C4">
      <w:pPr>
        <w:spacing w:before="0" w:line="240" w:lineRule="atLeast"/>
      </w:pPr>
    </w:p>
    <w:p w14:paraId="2A803A52" w14:textId="213AFB27" w:rsidR="001A0CB6" w:rsidRPr="00455A3C" w:rsidRDefault="001A0CB6" w:rsidP="00AC35C4">
      <w:pPr>
        <w:spacing w:before="0" w:line="240" w:lineRule="atLeast"/>
      </w:pPr>
      <w:r w:rsidRPr="00455A3C">
        <w:t>Ostrovní 126/30</w:t>
      </w:r>
    </w:p>
    <w:p w14:paraId="144A28E5" w14:textId="315E4F5D" w:rsidR="001A0CB6" w:rsidRPr="00455A3C" w:rsidRDefault="001A0CB6" w:rsidP="00AC35C4">
      <w:pPr>
        <w:spacing w:before="0" w:line="240" w:lineRule="atLeast"/>
      </w:pPr>
      <w:r w:rsidRPr="00455A3C">
        <w:t>110 00 Praha 1</w:t>
      </w:r>
    </w:p>
    <w:p w14:paraId="7C0F8924" w14:textId="77777777" w:rsidR="001A0CB6" w:rsidRPr="00455A3C" w:rsidRDefault="007B49DF" w:rsidP="00AC35C4">
      <w:pPr>
        <w:spacing w:before="0" w:line="240" w:lineRule="atLeast"/>
      </w:pPr>
      <w:proofErr w:type="spellStart"/>
      <w:r>
        <w:t>gsm</w:t>
      </w:r>
      <w:proofErr w:type="spellEnd"/>
      <w:r>
        <w:t>: + 420 720 406 659</w:t>
      </w:r>
    </w:p>
    <w:p w14:paraId="7B0D33DE" w14:textId="77777777" w:rsidR="001A0CB6" w:rsidRPr="00455A3C" w:rsidRDefault="00794CF3" w:rsidP="00AC35C4">
      <w:pPr>
        <w:spacing w:before="0" w:line="240" w:lineRule="atLeast"/>
      </w:pPr>
      <w:hyperlink w:tooltip="blocked::http://www.crestcom.cz&#10;http://www.crestcom.cz/" w:history="1">
        <w:r w:rsidR="001A0CB6" w:rsidRPr="00455A3C">
          <w:rPr>
            <w:rStyle w:val="Hypertextovodkaz"/>
            <w:color w:val="990033"/>
          </w:rPr>
          <w:t>www.crestcom.cz</w:t>
        </w:r>
      </w:hyperlink>
    </w:p>
    <w:p w14:paraId="448BCD59" w14:textId="77777777" w:rsidR="001A0CB6" w:rsidRPr="00455A3C" w:rsidRDefault="001A0CB6" w:rsidP="00AC35C4">
      <w:pPr>
        <w:spacing w:before="0" w:line="240" w:lineRule="atLeast"/>
      </w:pPr>
      <w:r w:rsidRPr="00455A3C">
        <w:rPr>
          <w:color w:val="000000"/>
        </w:rPr>
        <w:t xml:space="preserve">e-mail: </w:t>
      </w:r>
      <w:hyperlink r:id="rId10" w:history="1">
        <w:r w:rsidR="007B49DF" w:rsidRPr="00E23FD4">
          <w:rPr>
            <w:rStyle w:val="Hypertextovodkaz"/>
          </w:rPr>
          <w:t>eliska.krohova@crestcom.cz</w:t>
        </w:r>
      </w:hyperlink>
    </w:p>
    <w:p w14:paraId="4251B95B" w14:textId="53C200D9" w:rsidR="00C16BE6" w:rsidRPr="00455A3C" w:rsidRDefault="00C16BE6" w:rsidP="00C16BE6">
      <w:pPr>
        <w:pStyle w:val="F2-zkladn"/>
        <w:rPr>
          <w:b/>
        </w:rPr>
      </w:pPr>
      <w:r w:rsidRPr="00455A3C">
        <w:rPr>
          <w:b/>
        </w:rPr>
        <w:t>Informace pro editory:</w:t>
      </w:r>
    </w:p>
    <w:p w14:paraId="5440B2B9" w14:textId="5F410952" w:rsidR="00C16BE6" w:rsidRPr="00EB4C4B" w:rsidRDefault="00C16BE6" w:rsidP="00EB4C4B">
      <w:pPr>
        <w:shd w:val="clear" w:color="auto" w:fill="FFFFFF"/>
        <w:spacing w:before="100" w:beforeAutospacing="1" w:after="100" w:afterAutospacing="1" w:line="276" w:lineRule="auto"/>
        <w:rPr>
          <w:rFonts w:eastAsia="Calibri"/>
          <w:lang w:eastAsia="en-US"/>
        </w:rPr>
      </w:pPr>
      <w:proofErr w:type="spellStart"/>
      <w:r w:rsidRPr="00EB4C4B">
        <w:rPr>
          <w:b/>
        </w:rPr>
        <w:t>Fidelity</w:t>
      </w:r>
      <w:proofErr w:type="spellEnd"/>
      <w:r w:rsidRPr="00EB4C4B">
        <w:rPr>
          <w:b/>
        </w:rPr>
        <w:t xml:space="preserve"> International </w:t>
      </w:r>
      <w:r w:rsidRPr="00EB4C4B">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w:t>
      </w:r>
      <w:r w:rsidRPr="00EB4C4B">
        <w:lastRenderedPageBreak/>
        <w:t>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EB4C4B">
        <w:t>assets</w:t>
      </w:r>
      <w:proofErr w:type="spellEnd"/>
      <w:r w:rsidRPr="00EB4C4B">
        <w:t xml:space="preserve"> </w:t>
      </w:r>
      <w:proofErr w:type="spellStart"/>
      <w:r w:rsidRPr="00EB4C4B">
        <w:t>under</w:t>
      </w:r>
      <w:proofErr w:type="spellEnd"/>
      <w:r w:rsidRPr="00EB4C4B">
        <w:t xml:space="preserve"> </w:t>
      </w:r>
      <w:proofErr w:type="spellStart"/>
      <w:r w:rsidRPr="00EB4C4B">
        <w:t>administration</w:t>
      </w:r>
      <w:proofErr w:type="spellEnd"/>
      <w:r w:rsidRPr="00EB4C4B">
        <w:t xml:space="preserve">) a globálně pro klienty investovala 290 mld. USD ve 25 zemích napříč Evropou, Asií, Tichomořím, středním Východem a jižní Amerikou. V </w:t>
      </w:r>
      <w:r w:rsidRPr="00EB4C4B">
        <w:rPr>
          <w:rFonts w:eastAsia="Calibri"/>
          <w:lang w:eastAsia="en-US"/>
        </w:rPr>
        <w:t xml:space="preserve">České republice </w:t>
      </w:r>
      <w:proofErr w:type="spellStart"/>
      <w:r w:rsidRPr="00EB4C4B">
        <w:rPr>
          <w:rFonts w:eastAsia="Calibri"/>
          <w:lang w:eastAsia="en-US"/>
        </w:rPr>
        <w:t>Fidelity</w:t>
      </w:r>
      <w:proofErr w:type="spellEnd"/>
      <w:r w:rsidRPr="00EB4C4B">
        <w:rPr>
          <w:rFonts w:eastAsia="Calibri"/>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511534CE" w14:textId="77777777" w:rsidR="00C16BE6" w:rsidRPr="00EB4C4B" w:rsidRDefault="00C16BE6" w:rsidP="00EB4C4B">
      <w:pPr>
        <w:pStyle w:val="F2-zkladn"/>
        <w:spacing w:line="276" w:lineRule="auto"/>
        <w:rPr>
          <w:b/>
        </w:rPr>
      </w:pPr>
      <w:r w:rsidRPr="00EB4C4B">
        <w:rPr>
          <w:b/>
        </w:rPr>
        <w:t>Upozornění na rizika</w:t>
      </w:r>
    </w:p>
    <w:p w14:paraId="35979542" w14:textId="77777777" w:rsidR="00C16BE6" w:rsidRPr="00EB4C4B" w:rsidRDefault="00C16BE6" w:rsidP="00EB4C4B">
      <w:pPr>
        <w:pStyle w:val="F2-zkladn"/>
        <w:spacing w:line="276" w:lineRule="auto"/>
      </w:pPr>
      <w:proofErr w:type="spellStart"/>
      <w:r w:rsidRPr="00EB4C4B">
        <w:t>Fidelity</w:t>
      </w:r>
      <w:proofErr w:type="spellEnd"/>
      <w:r w:rsidRPr="00EB4C4B">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závazný základ pro nákup. Tyto dokumenty získáte bezplatně v pobočce FIL </w:t>
      </w:r>
      <w:proofErr w:type="spellStart"/>
      <w:r w:rsidRPr="00EB4C4B">
        <w:t>Investment</w:t>
      </w:r>
      <w:proofErr w:type="spellEnd"/>
      <w:r w:rsidRPr="00EB4C4B">
        <w:t xml:space="preserve"> </w:t>
      </w:r>
      <w:proofErr w:type="spellStart"/>
      <w:r w:rsidRPr="00EB4C4B">
        <w:t>Services</w:t>
      </w:r>
      <w:proofErr w:type="spellEnd"/>
      <w:r w:rsidRPr="00EB4C4B">
        <w:t xml:space="preserve"> </w:t>
      </w:r>
      <w:proofErr w:type="spellStart"/>
      <w:r w:rsidRPr="00EB4C4B">
        <w:t>GmbH</w:t>
      </w:r>
      <w:proofErr w:type="spellEnd"/>
      <w:r w:rsidRPr="00EB4C4B">
        <w:t xml:space="preserve">, </w:t>
      </w:r>
      <w:proofErr w:type="spellStart"/>
      <w:r w:rsidRPr="00EB4C4B">
        <w:t>Kastanienhöhe</w:t>
      </w:r>
      <w:proofErr w:type="spellEnd"/>
      <w:r w:rsidRPr="00EB4C4B">
        <w:t xml:space="preserve"> 1, D-61476 </w:t>
      </w:r>
      <w:proofErr w:type="spellStart"/>
      <w:r w:rsidRPr="00EB4C4B">
        <w:t>Kronberg</w:t>
      </w:r>
      <w:proofErr w:type="spellEnd"/>
      <w:r w:rsidRPr="00EB4C4B">
        <w:t xml:space="preserve"> </w:t>
      </w:r>
      <w:proofErr w:type="spellStart"/>
      <w:r w:rsidRPr="00EB4C4B">
        <w:t>im</w:t>
      </w:r>
      <w:proofErr w:type="spellEnd"/>
      <w:r w:rsidRPr="00EB4C4B">
        <w:t xml:space="preserve"> </w:t>
      </w:r>
      <w:proofErr w:type="spellStart"/>
      <w:r w:rsidRPr="00EB4C4B">
        <w:t>Taunus</w:t>
      </w:r>
      <w:proofErr w:type="spellEnd"/>
      <w:r w:rsidRPr="00EB4C4B">
        <w:t xml:space="preserve">, Německo, nebo v </w:t>
      </w:r>
      <w:proofErr w:type="spellStart"/>
      <w:r w:rsidRPr="00EB4C4B">
        <w:t>UniCredit</w:t>
      </w:r>
      <w:proofErr w:type="spellEnd"/>
      <w:r w:rsidRPr="00EB4C4B">
        <w:t xml:space="preserve"> Bank </w:t>
      </w:r>
      <w:proofErr w:type="spellStart"/>
      <w:r w:rsidRPr="00EB4C4B">
        <w:t>Austria</w:t>
      </w:r>
      <w:proofErr w:type="spellEnd"/>
      <w:r w:rsidRPr="00EB4C4B">
        <w:t xml:space="preserve"> AG, </w:t>
      </w:r>
      <w:proofErr w:type="spellStart"/>
      <w:r w:rsidRPr="00EB4C4B">
        <w:t>Vordere</w:t>
      </w:r>
      <w:proofErr w:type="spellEnd"/>
      <w:r w:rsidRPr="00EB4C4B">
        <w:t xml:space="preserve"> </w:t>
      </w:r>
      <w:proofErr w:type="spellStart"/>
      <w:r w:rsidRPr="00EB4C4B">
        <w:t>Zollamtstrasse</w:t>
      </w:r>
      <w:proofErr w:type="spellEnd"/>
      <w:r w:rsidRPr="00EB4C4B">
        <w:t xml:space="preserve"> 13, A-1030 Vídeň, nebo v </w:t>
      </w:r>
      <w:proofErr w:type="spellStart"/>
      <w:r w:rsidRPr="00EB4C4B">
        <w:t>UniCredit</w:t>
      </w:r>
      <w:proofErr w:type="spellEnd"/>
      <w:r w:rsidRPr="00EB4C4B">
        <w:t xml:space="preserve"> Bank Slovakia, a. s., </w:t>
      </w:r>
      <w:proofErr w:type="spellStart"/>
      <w:r w:rsidRPr="00EB4C4B">
        <w:t>Šancova</w:t>
      </w:r>
      <w:proofErr w:type="spellEnd"/>
      <w:r w:rsidRPr="00EB4C4B">
        <w:t xml:space="preserve"> 1/A, 813 33 Bratislava, nebo v </w:t>
      </w:r>
      <w:proofErr w:type="spellStart"/>
      <w:r w:rsidRPr="00EB4C4B">
        <w:t>Unicredit</w:t>
      </w:r>
      <w:proofErr w:type="spellEnd"/>
      <w:r w:rsidRPr="00EB4C4B">
        <w:t xml:space="preserve"> Bank Czech Republic, a. s., náměstí Republiky 3a, 111 21 Praha 1, nebo na adresách www.fidelity.at, www.fidelity.cz, www.fidelity.sk.</w:t>
      </w:r>
    </w:p>
    <w:p w14:paraId="1345D753" w14:textId="77777777" w:rsidR="00202F64" w:rsidRDefault="00202F64" w:rsidP="00EB4C4B">
      <w:pPr>
        <w:pStyle w:val="F2-zkladn"/>
        <w:spacing w:line="276" w:lineRule="auto"/>
        <w:rPr>
          <w:b/>
        </w:rPr>
      </w:pPr>
    </w:p>
    <w:p w14:paraId="79625687" w14:textId="77777777" w:rsidR="00C16BE6" w:rsidRPr="00EB4C4B" w:rsidRDefault="00C16BE6" w:rsidP="00EB4C4B">
      <w:pPr>
        <w:pStyle w:val="F2-zkladn"/>
        <w:spacing w:line="276" w:lineRule="auto"/>
        <w:rPr>
          <w:b/>
        </w:rPr>
      </w:pPr>
      <w:r w:rsidRPr="00EB4C4B">
        <w:rPr>
          <w:b/>
        </w:rPr>
        <w:t>Vydává</w:t>
      </w:r>
    </w:p>
    <w:p w14:paraId="4C9E6EE8" w14:textId="77777777" w:rsidR="00C16BE6" w:rsidRPr="00EB4C4B" w:rsidRDefault="00C16BE6" w:rsidP="00EB4C4B">
      <w:pPr>
        <w:pStyle w:val="F2-zkladn"/>
        <w:spacing w:line="276" w:lineRule="auto"/>
        <w:rPr>
          <w:b/>
        </w:rPr>
      </w:pPr>
      <w:r w:rsidRPr="00EB4C4B">
        <w:t>FIL (</w:t>
      </w:r>
      <w:proofErr w:type="spellStart"/>
      <w:r w:rsidRPr="00EB4C4B">
        <w:t>Luxembourg</w:t>
      </w:r>
      <w:proofErr w:type="spellEnd"/>
      <w:r w:rsidRPr="00EB4C4B">
        <w:t xml:space="preserve">) </w:t>
      </w:r>
      <w:proofErr w:type="gramStart"/>
      <w:r w:rsidRPr="00EB4C4B">
        <w:t>S.A.</w:t>
      </w:r>
      <w:proofErr w:type="gramEnd"/>
      <w:r w:rsidRPr="00EB4C4B">
        <w:t xml:space="preserve"> </w:t>
      </w:r>
      <w:proofErr w:type="spellStart"/>
      <w:r w:rsidRPr="00EB4C4B">
        <w:t>Zweigniederlassung</w:t>
      </w:r>
      <w:proofErr w:type="spellEnd"/>
      <w:r w:rsidRPr="00EB4C4B">
        <w:t xml:space="preserve"> </w:t>
      </w:r>
      <w:proofErr w:type="spellStart"/>
      <w:r w:rsidRPr="00EB4C4B">
        <w:t>Wien</w:t>
      </w:r>
      <w:proofErr w:type="spellEnd"/>
      <w:r w:rsidRPr="00EB4C4B">
        <w:t xml:space="preserve">, </w:t>
      </w:r>
      <w:proofErr w:type="spellStart"/>
      <w:r w:rsidRPr="00EB4C4B">
        <w:t>Mariahilfer</w:t>
      </w:r>
      <w:proofErr w:type="spellEnd"/>
      <w:r w:rsidRPr="00EB4C4B">
        <w:t xml:space="preserve"> </w:t>
      </w:r>
      <w:proofErr w:type="spellStart"/>
      <w:r w:rsidRPr="00EB4C4B">
        <w:t>Straße</w:t>
      </w:r>
      <w:proofErr w:type="spellEnd"/>
      <w:r w:rsidRPr="00EB4C4B">
        <w:t xml:space="preserve"> 36, 1070 Vídeň, IČO: FN 374007 </w:t>
      </w:r>
    </w:p>
    <w:p w14:paraId="7511897A" w14:textId="77777777" w:rsidR="00A7414F" w:rsidRPr="00EB4C4B" w:rsidRDefault="00C16BE6" w:rsidP="00EB4C4B">
      <w:pPr>
        <w:pStyle w:val="F2-zkladn"/>
        <w:spacing w:line="276" w:lineRule="auto"/>
      </w:pPr>
      <w:proofErr w:type="spellStart"/>
      <w:r w:rsidRPr="00EB4C4B">
        <w:t>Fidelity</w:t>
      </w:r>
      <w:proofErr w:type="spellEnd"/>
      <w:r w:rsidRPr="00EB4C4B">
        <w:t xml:space="preserve">, </w:t>
      </w:r>
      <w:proofErr w:type="spellStart"/>
      <w:r w:rsidRPr="00EB4C4B">
        <w:t>Fidelity</w:t>
      </w:r>
      <w:proofErr w:type="spellEnd"/>
      <w:r w:rsidRPr="00EB4C4B">
        <w:t xml:space="preserve"> International, logo </w:t>
      </w:r>
      <w:proofErr w:type="spellStart"/>
      <w:r w:rsidRPr="00EB4C4B">
        <w:t>Fidelity</w:t>
      </w:r>
      <w:proofErr w:type="spellEnd"/>
      <w:r w:rsidRPr="00EB4C4B">
        <w:t xml:space="preserve"> International a symbol F jsou registrované ochranné známky společnosti FIL Limited.</w:t>
      </w:r>
    </w:p>
    <w:p w14:paraId="3CD40D4C" w14:textId="77777777" w:rsidR="00A82FF0" w:rsidRPr="00EB4C4B" w:rsidRDefault="00A82FF0" w:rsidP="00EB4C4B">
      <w:pPr>
        <w:pStyle w:val="F2-zkladn"/>
        <w:spacing w:line="276" w:lineRule="auto"/>
        <w:rPr>
          <w:b/>
          <w:bCs/>
          <w:color w:val="000000"/>
          <w:shd w:val="clear" w:color="auto" w:fill="FFFFFF"/>
        </w:rPr>
      </w:pPr>
      <w:r w:rsidRPr="00EB4C4B">
        <w:rPr>
          <w:b/>
          <w:bCs/>
          <w:color w:val="000000"/>
          <w:shd w:val="clear" w:color="auto" w:fill="FFFFFF"/>
        </w:rPr>
        <w:t xml:space="preserve">Notes to </w:t>
      </w:r>
      <w:proofErr w:type="spellStart"/>
      <w:r w:rsidRPr="00EB4C4B">
        <w:rPr>
          <w:b/>
          <w:bCs/>
          <w:color w:val="000000"/>
          <w:shd w:val="clear" w:color="auto" w:fill="FFFFFF"/>
        </w:rPr>
        <w:t>editors</w:t>
      </w:r>
      <w:proofErr w:type="spellEnd"/>
    </w:p>
    <w:p w14:paraId="2E0EFFB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UCITS II ICAV </w:t>
      </w:r>
      <w:proofErr w:type="spellStart"/>
      <w:r w:rsidRPr="00EB4C4B">
        <w:rPr>
          <w:color w:val="000000"/>
        </w:rPr>
        <w:t>is</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in </w:t>
      </w:r>
      <w:proofErr w:type="spellStart"/>
      <w:r w:rsidRPr="00EB4C4B">
        <w:rPr>
          <w:color w:val="000000"/>
        </w:rPr>
        <w:t>Ireland</w:t>
      </w:r>
      <w:proofErr w:type="spellEnd"/>
      <w:r w:rsidRPr="00EB4C4B">
        <w:rPr>
          <w:color w:val="000000"/>
        </w:rPr>
        <w:t xml:space="preserve"> </w:t>
      </w:r>
      <w:proofErr w:type="spellStart"/>
      <w:r w:rsidRPr="00EB4C4B">
        <w:rPr>
          <w:color w:val="000000"/>
        </w:rPr>
        <w:t>pursuant</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Irish</w:t>
      </w:r>
      <w:proofErr w:type="spellEnd"/>
      <w:r w:rsidRPr="00EB4C4B">
        <w:rPr>
          <w:color w:val="000000"/>
        </w:rPr>
        <w:t xml:space="preserve"> </w:t>
      </w:r>
      <w:proofErr w:type="spellStart"/>
      <w:r w:rsidRPr="00EB4C4B">
        <w:rPr>
          <w:color w:val="000000"/>
        </w:rPr>
        <w:t>Collective</w:t>
      </w:r>
      <w:proofErr w:type="spellEnd"/>
      <w:r w:rsidRPr="00EB4C4B">
        <w:rPr>
          <w:color w:val="000000"/>
        </w:rPr>
        <w:t xml:space="preserve"> </w:t>
      </w:r>
      <w:proofErr w:type="spellStart"/>
      <w:r w:rsidRPr="00EB4C4B">
        <w:rPr>
          <w:color w:val="000000"/>
        </w:rPr>
        <w:t>Asset</w:t>
      </w:r>
      <w:proofErr w:type="spellEnd"/>
      <w:r w:rsidRPr="00EB4C4B">
        <w:rPr>
          <w:color w:val="000000"/>
        </w:rPr>
        <w:t xml:space="preserve">-management </w:t>
      </w:r>
      <w:proofErr w:type="spellStart"/>
      <w:r w:rsidRPr="00EB4C4B">
        <w:rPr>
          <w:color w:val="000000"/>
        </w:rPr>
        <w:t>Vehicles</w:t>
      </w:r>
      <w:proofErr w:type="spellEnd"/>
      <w:r w:rsidRPr="00EB4C4B">
        <w:rPr>
          <w:color w:val="000000"/>
        </w:rPr>
        <w:t xml:space="preserve"> </w:t>
      </w:r>
      <w:proofErr w:type="spellStart"/>
      <w:r w:rsidRPr="00EB4C4B">
        <w:rPr>
          <w:color w:val="000000"/>
        </w:rPr>
        <w:t>Act</w:t>
      </w:r>
      <w:proofErr w:type="spellEnd"/>
      <w:r w:rsidRPr="00EB4C4B">
        <w:rPr>
          <w:color w:val="000000"/>
        </w:rPr>
        <w:t xml:space="preserve"> 2015 and </w:t>
      </w:r>
      <w:proofErr w:type="spellStart"/>
      <w:r w:rsidRPr="00EB4C4B">
        <w:rPr>
          <w:color w:val="000000"/>
        </w:rPr>
        <w:t>is</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w:t>
      </w:r>
      <w:proofErr w:type="spellStart"/>
      <w:r w:rsidRPr="00EB4C4B">
        <w:rPr>
          <w:color w:val="000000"/>
        </w:rPr>
        <w:t>Central</w:t>
      </w:r>
      <w:proofErr w:type="spellEnd"/>
      <w:r w:rsidRPr="00EB4C4B">
        <w:rPr>
          <w:color w:val="000000"/>
        </w:rPr>
        <w:t xml:space="preserve"> Bank </w:t>
      </w:r>
      <w:proofErr w:type="spellStart"/>
      <w:r w:rsidRPr="00EB4C4B">
        <w:rPr>
          <w:color w:val="000000"/>
        </w:rPr>
        <w:t>of</w:t>
      </w:r>
      <w:proofErr w:type="spellEnd"/>
      <w:r w:rsidRPr="00EB4C4B">
        <w:rPr>
          <w:color w:val="000000"/>
        </w:rPr>
        <w:t xml:space="preserve"> </w:t>
      </w:r>
      <w:proofErr w:type="spellStart"/>
      <w:r w:rsidRPr="00EB4C4B">
        <w:rPr>
          <w:color w:val="000000"/>
        </w:rPr>
        <w:t>Ireland</w:t>
      </w:r>
      <w:proofErr w:type="spellEnd"/>
      <w:r w:rsidRPr="00EB4C4B">
        <w:rPr>
          <w:color w:val="000000"/>
        </w:rPr>
        <w:t xml:space="preserve"> as a UCITS.</w:t>
      </w:r>
    </w:p>
    <w:p w14:paraId="1075DB6A"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w:t>
      </w:r>
    </w:p>
    <w:p w14:paraId="146F3E9D"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group</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p>
    <w:p w14:paraId="0AC1BCF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w:t>
      </w:r>
    </w:p>
    <w:p w14:paraId="457C1957"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b/>
          <w:bCs/>
          <w:color w:val="000000"/>
        </w:rPr>
        <w:t>We</w:t>
      </w:r>
      <w:proofErr w:type="spellEnd"/>
      <w:r w:rsidRPr="00EB4C4B">
        <w:rPr>
          <w:b/>
          <w:bCs/>
          <w:color w:val="000000"/>
        </w:rPr>
        <w:t xml:space="preserve"> </w:t>
      </w:r>
      <w:proofErr w:type="spellStart"/>
      <w:r w:rsidRPr="00EB4C4B">
        <w:rPr>
          <w:b/>
          <w:bCs/>
          <w:color w:val="000000"/>
        </w:rPr>
        <w:t>recommend</w:t>
      </w:r>
      <w:proofErr w:type="spellEnd"/>
      <w:r w:rsidRPr="00EB4C4B">
        <w:rPr>
          <w:b/>
          <w:bCs/>
          <w:color w:val="000000"/>
        </w:rPr>
        <w:t xml:space="preserve"> </w:t>
      </w:r>
      <w:proofErr w:type="spellStart"/>
      <w:r w:rsidRPr="00EB4C4B">
        <w:rPr>
          <w:b/>
          <w:bCs/>
          <w:color w:val="000000"/>
        </w:rPr>
        <w:t>that</w:t>
      </w:r>
      <w:proofErr w:type="spellEnd"/>
      <w:r w:rsidRPr="00EB4C4B">
        <w:rPr>
          <w:b/>
          <w:bCs/>
          <w:color w:val="000000"/>
        </w:rPr>
        <w:t xml:space="preserve"> </w:t>
      </w:r>
      <w:proofErr w:type="spellStart"/>
      <w:r w:rsidRPr="00EB4C4B">
        <w:rPr>
          <w:b/>
          <w:bCs/>
          <w:color w:val="000000"/>
        </w:rPr>
        <w:t>you</w:t>
      </w:r>
      <w:proofErr w:type="spellEnd"/>
      <w:r w:rsidRPr="00EB4C4B">
        <w:rPr>
          <w:b/>
          <w:bCs/>
          <w:color w:val="000000"/>
        </w:rPr>
        <w:t xml:space="preserve"> </w:t>
      </w:r>
      <w:proofErr w:type="spellStart"/>
      <w:r w:rsidRPr="00EB4C4B">
        <w:rPr>
          <w:b/>
          <w:bCs/>
          <w:color w:val="000000"/>
        </w:rPr>
        <w:t>obtain</w:t>
      </w:r>
      <w:proofErr w:type="spellEnd"/>
      <w:r w:rsidRPr="00EB4C4B">
        <w:rPr>
          <w:b/>
          <w:bCs/>
          <w:color w:val="000000"/>
        </w:rPr>
        <w:t xml:space="preserve"> </w:t>
      </w:r>
      <w:proofErr w:type="spellStart"/>
      <w:r w:rsidRPr="00EB4C4B">
        <w:rPr>
          <w:b/>
          <w:bCs/>
          <w:color w:val="000000"/>
        </w:rPr>
        <w:t>detailed</w:t>
      </w:r>
      <w:proofErr w:type="spellEnd"/>
      <w:r w:rsidRPr="00EB4C4B">
        <w:rPr>
          <w:b/>
          <w:bCs/>
          <w:color w:val="000000"/>
        </w:rPr>
        <w:t xml:space="preserve"> </w:t>
      </w:r>
      <w:proofErr w:type="spellStart"/>
      <w:r w:rsidRPr="00EB4C4B">
        <w:rPr>
          <w:b/>
          <w:bCs/>
          <w:color w:val="000000"/>
        </w:rPr>
        <w:t>information</w:t>
      </w:r>
      <w:proofErr w:type="spellEnd"/>
      <w:r w:rsidRPr="00EB4C4B">
        <w:rPr>
          <w:b/>
          <w:bCs/>
          <w:color w:val="000000"/>
        </w:rPr>
        <w:t xml:space="preserve"> </w:t>
      </w:r>
      <w:proofErr w:type="spellStart"/>
      <w:r w:rsidRPr="00EB4C4B">
        <w:rPr>
          <w:b/>
          <w:bCs/>
          <w:color w:val="000000"/>
        </w:rPr>
        <w:t>before</w:t>
      </w:r>
      <w:proofErr w:type="spellEnd"/>
      <w:r w:rsidRPr="00EB4C4B">
        <w:rPr>
          <w:b/>
          <w:bCs/>
          <w:color w:val="000000"/>
        </w:rPr>
        <w:t xml:space="preserve"> </w:t>
      </w:r>
      <w:proofErr w:type="spellStart"/>
      <w:r w:rsidRPr="00EB4C4B">
        <w:rPr>
          <w:b/>
          <w:bCs/>
          <w:color w:val="000000"/>
        </w:rPr>
        <w:t>taking</w:t>
      </w:r>
      <w:proofErr w:type="spellEnd"/>
      <w:r w:rsidRPr="00EB4C4B">
        <w:rPr>
          <w:b/>
          <w:bCs/>
          <w:color w:val="000000"/>
        </w:rPr>
        <w:t xml:space="preserve"> </w:t>
      </w:r>
      <w:proofErr w:type="spellStart"/>
      <w:r w:rsidRPr="00EB4C4B">
        <w:rPr>
          <w:b/>
          <w:bCs/>
          <w:color w:val="000000"/>
        </w:rPr>
        <w:t>any</w:t>
      </w:r>
      <w:proofErr w:type="spellEnd"/>
      <w:r w:rsidRPr="00EB4C4B">
        <w:rPr>
          <w:b/>
          <w:bCs/>
          <w:color w:val="000000"/>
        </w:rPr>
        <w:t xml:space="preserve"> </w:t>
      </w:r>
      <w:proofErr w:type="spellStart"/>
      <w:r w:rsidRPr="00EB4C4B">
        <w:rPr>
          <w:b/>
          <w:bCs/>
          <w:color w:val="000000"/>
        </w:rPr>
        <w:t>investment</w:t>
      </w:r>
      <w:proofErr w:type="spellEnd"/>
      <w:r w:rsidRPr="00EB4C4B">
        <w:rPr>
          <w:b/>
          <w:bCs/>
          <w:color w:val="000000"/>
        </w:rPr>
        <w:t xml:space="preserve"> </w:t>
      </w:r>
      <w:proofErr w:type="spellStart"/>
      <w:r w:rsidRPr="00EB4C4B">
        <w:rPr>
          <w:b/>
          <w:bCs/>
          <w:color w:val="000000"/>
        </w:rPr>
        <w:t>decision</w:t>
      </w:r>
      <w:proofErr w:type="spellEnd"/>
      <w:r w:rsidRPr="00EB4C4B">
        <w:rPr>
          <w:b/>
          <w:bCs/>
          <w:color w:val="000000"/>
        </w:rPr>
        <w:t>.</w:t>
      </w:r>
      <w:r w:rsidRPr="00EB4C4B">
        <w:rPr>
          <w:color w:val="000000"/>
        </w:rPr>
        <w:t> </w:t>
      </w:r>
      <w:proofErr w:type="spellStart"/>
      <w:r w:rsidRPr="00EB4C4B">
        <w:rPr>
          <w:color w:val="000000"/>
        </w:rPr>
        <w:t>Investments</w:t>
      </w:r>
      <w:proofErr w:type="spell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supplement</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entities</w:t>
      </w:r>
      <w:proofErr w:type="spellEnd"/>
      <w:r w:rsidRPr="00EB4C4B">
        <w:rPr>
          <w:color w:val="000000"/>
        </w:rPr>
        <w:t xml:space="preserve"> </w:t>
      </w:r>
      <w:proofErr w:type="spellStart"/>
      <w:r w:rsidRPr="00EB4C4B">
        <w:rPr>
          <w:color w:val="000000"/>
        </w:rPr>
        <w:t>listed</w:t>
      </w:r>
      <w:proofErr w:type="spellEnd"/>
      <w:r w:rsidRPr="00EB4C4B">
        <w:rPr>
          <w:color w:val="000000"/>
        </w:rPr>
        <w:t xml:space="preserve"> </w:t>
      </w:r>
      <w:proofErr w:type="spellStart"/>
      <w:r w:rsidRPr="00EB4C4B">
        <w:rPr>
          <w:color w:val="000000"/>
        </w:rPr>
        <w:t>below</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w:t>
      </w:r>
      <w:proofErr w:type="spellStart"/>
      <w:r w:rsidRPr="00EB4C4B">
        <w:rPr>
          <w:b/>
          <w:bCs/>
          <w:color w:val="000000"/>
        </w:rPr>
        <w:t>European</w:t>
      </w:r>
      <w:proofErr w:type="spellEnd"/>
      <w:r w:rsidRPr="00EB4C4B">
        <w:rPr>
          <w:b/>
          <w:bCs/>
          <w:color w:val="000000"/>
        </w:rPr>
        <w:t xml:space="preserve"> </w:t>
      </w:r>
      <w:proofErr w:type="spellStart"/>
      <w:r w:rsidRPr="00EB4C4B">
        <w:rPr>
          <w:b/>
          <w:bCs/>
          <w:color w:val="000000"/>
        </w:rPr>
        <w:t>Service</w:t>
      </w:r>
      <w:proofErr w:type="spellEnd"/>
      <w:r w:rsidRPr="00EB4C4B">
        <w:rPr>
          <w:b/>
          <w:bCs/>
          <w:color w:val="000000"/>
        </w:rPr>
        <w:t xml:space="preserve"> Centre in </w:t>
      </w:r>
      <w:proofErr w:type="spellStart"/>
      <w:r w:rsidRPr="00EB4C4B">
        <w:rPr>
          <w:b/>
          <w:bCs/>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2a,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w:t>
      </w:r>
      <w:proofErr w:type="spellStart"/>
      <w:r w:rsidRPr="00EB4C4B">
        <w:rPr>
          <w:b/>
          <w:bCs/>
          <w:color w:val="000000"/>
        </w:rPr>
        <w:t>Austria</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Austrian</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w:t>
      </w:r>
      <w:proofErr w:type="spellStart"/>
      <w:r w:rsidRPr="00EB4C4B">
        <w:rPr>
          <w:color w:val="000000"/>
        </w:rPr>
        <w:t>Austria</w:t>
      </w:r>
      <w:proofErr w:type="spellEnd"/>
      <w:r w:rsidRPr="00EB4C4B">
        <w:rPr>
          <w:color w:val="000000"/>
        </w:rPr>
        <w:t xml:space="preserve"> AG, </w:t>
      </w:r>
      <w:proofErr w:type="spellStart"/>
      <w:r w:rsidRPr="00EB4C4B">
        <w:rPr>
          <w:color w:val="000000"/>
        </w:rPr>
        <w:t>Schottengasse</w:t>
      </w:r>
      <w:proofErr w:type="spellEnd"/>
      <w:r w:rsidRPr="00EB4C4B">
        <w:rPr>
          <w:color w:val="000000"/>
        </w:rPr>
        <w:t xml:space="preserve"> 6-8, 1010 </w:t>
      </w:r>
      <w:proofErr w:type="spellStart"/>
      <w:r w:rsidRPr="00EB4C4B">
        <w:rPr>
          <w:color w:val="000000"/>
        </w:rPr>
        <w:lastRenderedPageBreak/>
        <w:t>Vienna</w:t>
      </w:r>
      <w:proofErr w:type="spellEnd"/>
      <w:r w:rsidRPr="00EB4C4B">
        <w:rPr>
          <w:color w:val="000000"/>
        </w:rPr>
        <w:t xml:space="preserve">, </w:t>
      </w:r>
      <w:proofErr w:type="spellStart"/>
      <w:r w:rsidRPr="00EB4C4B">
        <w:rPr>
          <w:color w:val="000000"/>
        </w:rPr>
        <w:t>Austria</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www.fidelity.at. </w:t>
      </w:r>
      <w:r w:rsidRPr="00EB4C4B">
        <w:rPr>
          <w:b/>
          <w:bCs/>
          <w:color w:val="000000"/>
        </w:rPr>
        <w:t>Czech Republic</w:t>
      </w:r>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 </w:t>
      </w:r>
      <w:r w:rsidRPr="00EB4C4B">
        <w:rPr>
          <w:b/>
          <w:bCs/>
          <w:color w:val="000000"/>
        </w:rPr>
        <w:t>France:</w:t>
      </w:r>
      <w:r w:rsidRPr="00EB4C4B">
        <w:rPr>
          <w:color w:val="000000"/>
        </w:rPr>
        <w:t xml:space="preserve">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N°GP03-004, 29 </w:t>
      </w:r>
      <w:proofErr w:type="spellStart"/>
      <w:r w:rsidRPr="00EB4C4B">
        <w:rPr>
          <w:color w:val="000000"/>
        </w:rPr>
        <w:t>rue</w:t>
      </w:r>
      <w:proofErr w:type="spellEnd"/>
      <w:r w:rsidRPr="00EB4C4B">
        <w:rPr>
          <w:color w:val="000000"/>
        </w:rPr>
        <w:t xml:space="preserve"> de </w:t>
      </w:r>
      <w:proofErr w:type="spellStart"/>
      <w:r w:rsidRPr="00EB4C4B">
        <w:rPr>
          <w:color w:val="000000"/>
        </w:rPr>
        <w:t>Berri</w:t>
      </w:r>
      <w:proofErr w:type="spellEnd"/>
      <w:r w:rsidRPr="00EB4C4B">
        <w:rPr>
          <w:color w:val="000000"/>
        </w:rPr>
        <w:t xml:space="preserve">, 75008 Paris. </w:t>
      </w:r>
      <w:proofErr w:type="spellStart"/>
      <w:r w:rsidRPr="00EB4C4B">
        <w:rPr>
          <w:color w:val="000000"/>
        </w:rPr>
        <w:t>The</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French</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proofErr w:type="spellStart"/>
      <w:r w:rsidRPr="00EB4C4B">
        <w:rPr>
          <w:b/>
          <w:bCs/>
          <w:color w:val="000000"/>
        </w:rPr>
        <w:t>Germany</w:t>
      </w:r>
      <w:proofErr w:type="spellEnd"/>
      <w:r w:rsidRPr="00EB4C4B">
        <w:rPr>
          <w:b/>
          <w:bCs/>
          <w:color w:val="000000"/>
        </w:rPr>
        <w:t>:</w:t>
      </w:r>
      <w:r w:rsidRPr="00EB4C4B">
        <w:rPr>
          <w:color w:val="000000"/>
        </w:rPr>
        <w:t xml:space="preserve"> FIL </w:t>
      </w:r>
      <w:proofErr w:type="spellStart"/>
      <w:r w:rsidRPr="00EB4C4B">
        <w:rPr>
          <w:color w:val="000000"/>
        </w:rPr>
        <w:t>Investment</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 xml:space="preserve">, </w:t>
      </w:r>
      <w:proofErr w:type="spellStart"/>
      <w:r w:rsidRPr="00EB4C4B">
        <w:rPr>
          <w:color w:val="000000"/>
        </w:rPr>
        <w:t>Postfach</w:t>
      </w:r>
      <w:proofErr w:type="spellEnd"/>
      <w:r w:rsidRPr="00EB4C4B">
        <w:rPr>
          <w:color w:val="000000"/>
        </w:rPr>
        <w:t xml:space="preserve"> 200237, 60606 Frankfurt/</w:t>
      </w:r>
      <w:proofErr w:type="spellStart"/>
      <w:r w:rsidRPr="00EB4C4B">
        <w:rPr>
          <w:color w:val="000000"/>
        </w:rPr>
        <w:t>Main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www.fidelity.de. </w:t>
      </w:r>
      <w:proofErr w:type="spellStart"/>
      <w:r w:rsidRPr="00EB4C4B">
        <w:rPr>
          <w:b/>
          <w:bCs/>
          <w:color w:val="000000"/>
        </w:rPr>
        <w:t>Hungary</w:t>
      </w:r>
      <w:proofErr w:type="spellEnd"/>
      <w:r w:rsidRPr="00EB4C4B">
        <w:rPr>
          <w:color w:val="000000"/>
        </w:rPr>
        <w:t xml:space="preserve">: </w:t>
      </w:r>
      <w:proofErr w:type="spellStart"/>
      <w:r w:rsidRPr="00EB4C4B">
        <w:rPr>
          <w:color w:val="000000"/>
        </w:rPr>
        <w:t>Raiffeisen</w:t>
      </w:r>
      <w:proofErr w:type="spellEnd"/>
      <w:r w:rsidRPr="00EB4C4B">
        <w:rPr>
          <w:color w:val="000000"/>
        </w:rPr>
        <w:t xml:space="preserve"> </w:t>
      </w:r>
      <w:proofErr w:type="spellStart"/>
      <w:r w:rsidRPr="00EB4C4B">
        <w:rPr>
          <w:color w:val="000000"/>
        </w:rPr>
        <w:t>Zentralbank</w:t>
      </w:r>
      <w:proofErr w:type="spellEnd"/>
      <w:r w:rsidRPr="00EB4C4B">
        <w:rPr>
          <w:color w:val="000000"/>
        </w:rPr>
        <w:t xml:space="preserve"> </w:t>
      </w:r>
      <w:proofErr w:type="spellStart"/>
      <w:r w:rsidRPr="00EB4C4B">
        <w:rPr>
          <w:color w:val="000000"/>
        </w:rPr>
        <w:t>Österreich</w:t>
      </w:r>
      <w:proofErr w:type="spellEnd"/>
      <w:r w:rsidRPr="00EB4C4B">
        <w:rPr>
          <w:color w:val="000000"/>
        </w:rPr>
        <w:t xml:space="preserve"> AG, </w:t>
      </w:r>
      <w:proofErr w:type="spellStart"/>
      <w:r w:rsidRPr="00EB4C4B">
        <w:rPr>
          <w:color w:val="000000"/>
        </w:rPr>
        <w:t>Akademia</w:t>
      </w:r>
      <w:proofErr w:type="spellEnd"/>
      <w:r w:rsidRPr="00EB4C4B">
        <w:rPr>
          <w:color w:val="000000"/>
        </w:rPr>
        <w:t xml:space="preserve"> u. 6, 1054 </w:t>
      </w:r>
      <w:proofErr w:type="spellStart"/>
      <w:r w:rsidRPr="00EB4C4B">
        <w:rPr>
          <w:color w:val="000000"/>
        </w:rPr>
        <w:t>Budapest</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Hungarian</w:t>
      </w:r>
      <w:proofErr w:type="spellEnd"/>
      <w:r w:rsidRPr="00EB4C4B">
        <w:rPr>
          <w:color w:val="000000"/>
        </w:rPr>
        <w:t xml:space="preserve"> </w:t>
      </w:r>
      <w:proofErr w:type="spellStart"/>
      <w:r w:rsidRPr="00EB4C4B">
        <w:rPr>
          <w:color w:val="000000"/>
        </w:rPr>
        <w:t>language</w:t>
      </w:r>
      <w:proofErr w:type="spellEnd"/>
      <w:r w:rsidRPr="00EB4C4B">
        <w:rPr>
          <w:color w:val="000000"/>
        </w:rPr>
        <w:t>. </w:t>
      </w:r>
      <w:proofErr w:type="spellStart"/>
      <w:r w:rsidRPr="00EB4C4B">
        <w:rPr>
          <w:b/>
          <w:bCs/>
          <w:color w:val="000000"/>
        </w:rPr>
        <w:t>Netherlands</w:t>
      </w:r>
      <w:proofErr w:type="spellEnd"/>
      <w:r w:rsidRPr="00EB4C4B">
        <w:rPr>
          <w:color w:val="000000"/>
        </w:rPr>
        <w:t>: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w:t>
      </w:r>
      <w:proofErr w:type="spellStart"/>
      <w:r w:rsidRPr="00EB4C4B">
        <w:rPr>
          <w:color w:val="000000"/>
        </w:rPr>
        <w:t>Netherlands</w:t>
      </w:r>
      <w:proofErr w:type="spellEnd"/>
      <w:r w:rsidRPr="00EB4C4B">
        <w:rPr>
          <w:color w:val="000000"/>
        </w:rPr>
        <w:t xml:space="preserve"> </w:t>
      </w:r>
      <w:proofErr w:type="spellStart"/>
      <w:r w:rsidRPr="00EB4C4B">
        <w:rPr>
          <w:color w:val="000000"/>
        </w:rPr>
        <w:t>Branch</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AFM), </w:t>
      </w:r>
      <w:proofErr w:type="spellStart"/>
      <w:r w:rsidRPr="00EB4C4B">
        <w:rPr>
          <w:color w:val="000000"/>
        </w:rPr>
        <w:t>World</w:t>
      </w:r>
      <w:proofErr w:type="spellEnd"/>
      <w:r w:rsidRPr="00EB4C4B">
        <w:rPr>
          <w:color w:val="000000"/>
        </w:rPr>
        <w:t xml:space="preserve"> </w:t>
      </w:r>
      <w:proofErr w:type="spellStart"/>
      <w:r w:rsidRPr="00EB4C4B">
        <w:rPr>
          <w:color w:val="000000"/>
        </w:rPr>
        <w:t>Trade</w:t>
      </w:r>
      <w:proofErr w:type="spellEnd"/>
      <w:r w:rsidRPr="00EB4C4B">
        <w:rPr>
          <w:color w:val="000000"/>
        </w:rPr>
        <w:t xml:space="preserve"> Centre, Tower H, 6th </w:t>
      </w:r>
      <w:proofErr w:type="spellStart"/>
      <w:r w:rsidRPr="00EB4C4B">
        <w:rPr>
          <w:color w:val="000000"/>
        </w:rPr>
        <w:t>Floor</w:t>
      </w:r>
      <w:proofErr w:type="spellEnd"/>
      <w:r w:rsidRPr="00EB4C4B">
        <w:rPr>
          <w:color w:val="000000"/>
        </w:rPr>
        <w:t xml:space="preserve">, </w:t>
      </w:r>
      <w:proofErr w:type="spellStart"/>
      <w:r w:rsidRPr="00EB4C4B">
        <w:rPr>
          <w:color w:val="000000"/>
        </w:rPr>
        <w:t>Zuidplein</w:t>
      </w:r>
      <w:proofErr w:type="spellEnd"/>
      <w:r w:rsidRPr="00EB4C4B">
        <w:rPr>
          <w:color w:val="000000"/>
        </w:rPr>
        <w:t xml:space="preserve"> 52, 1077 XV Amsterdam (tel. 0031 20 79 77 100). </w:t>
      </w:r>
      <w:proofErr w:type="spellStart"/>
      <w:r w:rsidRPr="00EB4C4B">
        <w:rPr>
          <w:b/>
          <w:bCs/>
          <w:color w:val="000000"/>
        </w:rPr>
        <w:t>Poland</w:t>
      </w:r>
      <w:proofErr w:type="spellEnd"/>
      <w:r w:rsidRPr="00EB4C4B">
        <w:rPr>
          <w:color w:val="000000"/>
        </w:rPr>
        <w:t>:</w:t>
      </w:r>
      <w:r w:rsidRPr="00EB4C4B">
        <w:rPr>
          <w:b/>
          <w:bCs/>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representative</w:t>
      </w:r>
      <w:proofErr w:type="spellEnd"/>
      <w:r w:rsidRPr="00EB4C4B">
        <w:rPr>
          <w:color w:val="000000"/>
        </w:rPr>
        <w:t xml:space="preserve"> </w:t>
      </w:r>
      <w:proofErr w:type="spellStart"/>
      <w:r w:rsidRPr="00EB4C4B">
        <w:rPr>
          <w:color w:val="000000"/>
        </w:rPr>
        <w:t>office</w:t>
      </w:r>
      <w:proofErr w:type="spellEnd"/>
      <w:r w:rsidRPr="00EB4C4B">
        <w:rPr>
          <w:color w:val="000000"/>
        </w:rPr>
        <w:t xml:space="preserve"> in </w:t>
      </w:r>
      <w:proofErr w:type="spellStart"/>
      <w:r w:rsidRPr="00EB4C4B">
        <w:rPr>
          <w:color w:val="000000"/>
        </w:rPr>
        <w:t>Poland</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www.fidelity.pl. </w:t>
      </w:r>
      <w:proofErr w:type="spellStart"/>
      <w:r w:rsidRPr="00EB4C4B">
        <w:rPr>
          <w:color w:val="000000"/>
        </w:rPr>
        <w:t>The</w:t>
      </w:r>
      <w:proofErr w:type="spellEnd"/>
      <w:r w:rsidRPr="00EB4C4B">
        <w:rPr>
          <w:color w:val="000000"/>
        </w:rPr>
        <w:t xml:space="preserve"> </w:t>
      </w:r>
      <w:proofErr w:type="spellStart"/>
      <w:r w:rsidRPr="00EB4C4B">
        <w:rPr>
          <w:color w:val="000000"/>
        </w:rPr>
        <w:t>Additional</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Investors</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r w:rsidRPr="00EB4C4B">
        <w:rPr>
          <w:b/>
          <w:bCs/>
          <w:color w:val="000000"/>
        </w:rPr>
        <w:t>Slovakia:</w:t>
      </w:r>
      <w:r w:rsidRPr="00EB4C4B">
        <w:rPr>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Slovakia, a.s., </w:t>
      </w:r>
      <w:proofErr w:type="spellStart"/>
      <w:r w:rsidRPr="00EB4C4B">
        <w:rPr>
          <w:color w:val="000000"/>
        </w:rPr>
        <w:t>Sancova</w:t>
      </w:r>
      <w:proofErr w:type="spellEnd"/>
      <w:r w:rsidRPr="00EB4C4B">
        <w:rPr>
          <w:color w:val="000000"/>
        </w:rPr>
        <w:t xml:space="preserve"> 1/A 81333, Slovakia.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Slovak</w:t>
      </w:r>
      <w:proofErr w:type="spellEnd"/>
      <w:r w:rsidRPr="00EB4C4B">
        <w:rPr>
          <w:color w:val="000000"/>
        </w:rPr>
        <w:t xml:space="preserve"> </w:t>
      </w:r>
      <w:proofErr w:type="spellStart"/>
      <w:r w:rsidRPr="00EB4C4B">
        <w:rPr>
          <w:color w:val="000000"/>
        </w:rPr>
        <w:t>language</w:t>
      </w:r>
      <w:proofErr w:type="spellEnd"/>
      <w:r w:rsidRPr="00EB4C4B">
        <w:rPr>
          <w:color w:val="000000"/>
        </w:rPr>
        <w:t>.</w:t>
      </w:r>
    </w:p>
    <w:p w14:paraId="44E4F9D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Issued</w:t>
      </w:r>
      <w:proofErr w:type="spellEnd"/>
      <w:r w:rsidRPr="00EB4C4B">
        <w:rPr>
          <w:color w:val="000000"/>
        </w:rPr>
        <w:t xml:space="preserve"> by: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CSSF (</w:t>
      </w:r>
      <w:proofErr w:type="spellStart"/>
      <w:r w:rsidRPr="00EB4C4B">
        <w:rPr>
          <w:color w:val="000000"/>
        </w:rPr>
        <w:t>Commission</w:t>
      </w:r>
      <w:proofErr w:type="spellEnd"/>
      <w:r w:rsidRPr="00EB4C4B">
        <w:rPr>
          <w:color w:val="000000"/>
        </w:rPr>
        <w:t xml:space="preserve"> de</w:t>
      </w:r>
    </w:p>
    <w:p w14:paraId="1F529CA2" w14:textId="77777777" w:rsidR="00A7414F" w:rsidRPr="00EB4C4B" w:rsidRDefault="00A82FF0" w:rsidP="00EB4C4B">
      <w:pPr>
        <w:shd w:val="clear" w:color="auto" w:fill="FFFFFF"/>
        <w:spacing w:before="0" w:line="276" w:lineRule="auto"/>
        <w:rPr>
          <w:color w:val="000000"/>
        </w:rPr>
      </w:pPr>
      <w:proofErr w:type="spellStart"/>
      <w:r w:rsidRPr="00EB4C4B">
        <w:rPr>
          <w:color w:val="000000"/>
        </w:rPr>
        <w:t>Surveillance</w:t>
      </w:r>
      <w:proofErr w:type="spellEnd"/>
      <w:r w:rsidRPr="00EB4C4B">
        <w:rPr>
          <w:color w:val="000000"/>
        </w:rPr>
        <w:t xml:space="preserve"> </w:t>
      </w:r>
      <w:proofErr w:type="spellStart"/>
      <w:r w:rsidRPr="00EB4C4B">
        <w:rPr>
          <w:color w:val="000000"/>
        </w:rPr>
        <w:t>du</w:t>
      </w:r>
      <w:proofErr w:type="spellEnd"/>
      <w:r w:rsidRPr="00EB4C4B">
        <w:rPr>
          <w:color w:val="000000"/>
        </w:rPr>
        <w:t xml:space="preserve"> </w:t>
      </w:r>
      <w:proofErr w:type="spellStart"/>
      <w:r w:rsidRPr="00EB4C4B">
        <w:rPr>
          <w:color w:val="000000"/>
        </w:rPr>
        <w:t>Secteur</w:t>
      </w:r>
      <w:proofErr w:type="spellEnd"/>
      <w:r w:rsidRPr="00EB4C4B">
        <w:rPr>
          <w:color w:val="000000"/>
        </w:rPr>
        <w:t xml:space="preserve"> </w:t>
      </w:r>
      <w:proofErr w:type="spellStart"/>
      <w:r w:rsidRPr="00EB4C4B">
        <w:rPr>
          <w:color w:val="000000"/>
        </w:rPr>
        <w:t>Financier</w:t>
      </w:r>
      <w:proofErr w:type="spellEnd"/>
      <w:r w:rsidRPr="00EB4C4B">
        <w:rPr>
          <w:color w:val="000000"/>
        </w:rPr>
        <w:t xml:space="preserve">) /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 FIL </w:t>
      </w:r>
      <w:proofErr w:type="spellStart"/>
      <w:r w:rsidRPr="00EB4C4B">
        <w:rPr>
          <w:color w:val="000000"/>
        </w:rPr>
        <w:t>Investments</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w:t>
      </w:r>
    </w:p>
    <w:p w14:paraId="3F4FA44E" w14:textId="77777777" w:rsidR="00A7414F" w:rsidRPr="00EB4C4B" w:rsidRDefault="00A7414F" w:rsidP="00EB4C4B">
      <w:pPr>
        <w:pStyle w:val="F2-zkladn"/>
        <w:spacing w:line="276" w:lineRule="auto"/>
        <w:rPr>
          <w:b/>
          <w:bCs/>
        </w:rPr>
      </w:pPr>
      <w:proofErr w:type="spellStart"/>
      <w:r w:rsidRPr="00EB4C4B">
        <w:rPr>
          <w:b/>
          <w:bCs/>
        </w:rPr>
        <w:t>Disclaimer</w:t>
      </w:r>
      <w:proofErr w:type="spellEnd"/>
    </w:p>
    <w:p w14:paraId="6D5F19AD"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 xml:space="preserve">. </w:t>
      </w:r>
    </w:p>
    <w:p w14:paraId="7468FDC7"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group</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r w:rsidR="00EB4C4B" w:rsidRPr="00EB4C4B">
        <w:rPr>
          <w:color w:val="000000"/>
        </w:rPr>
        <w:t xml:space="preserve"> </w:t>
      </w:r>
    </w:p>
    <w:p w14:paraId="7ADCA5EA" w14:textId="77777777" w:rsidR="00A7414F" w:rsidRPr="00EB4C4B" w:rsidRDefault="00A7414F" w:rsidP="00EB4C4B">
      <w:pPr>
        <w:pStyle w:val="F2-zkladn"/>
        <w:spacing w:line="276" w:lineRule="auto"/>
        <w:rPr>
          <w:color w:val="000000"/>
        </w:rPr>
      </w:pPr>
      <w:proofErr w:type="spellStart"/>
      <w:r w:rsidRPr="00EB4C4B">
        <w:rPr>
          <w:color w:val="000000"/>
        </w:rPr>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 </w:t>
      </w:r>
    </w:p>
    <w:p w14:paraId="7DD5EE20" w14:textId="77777777" w:rsidR="00A7414F" w:rsidRPr="00EB4C4B" w:rsidRDefault="00A7414F" w:rsidP="00EB4C4B">
      <w:pPr>
        <w:pStyle w:val="F2-zkladn"/>
        <w:spacing w:line="276" w:lineRule="auto"/>
        <w:rPr>
          <w:color w:val="000000"/>
        </w:rPr>
      </w:pPr>
      <w:r w:rsidRPr="00EB4C4B">
        <w:rPr>
          <w:color w:val="000000"/>
        </w:rPr>
        <w:t xml:space="preserve">Czech Republic:  </w:t>
      </w:r>
      <w:proofErr w:type="spellStart"/>
      <w:r w:rsidRPr="00EB4C4B">
        <w:rPr>
          <w:color w:val="000000"/>
        </w:rPr>
        <w:t>Investments</w:t>
      </w:r>
      <w:proofErr w:type="spell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European</w:t>
      </w:r>
      <w:proofErr w:type="spellEnd"/>
      <w:r w:rsidRPr="00EB4C4B">
        <w:rPr>
          <w:color w:val="000000"/>
        </w:rPr>
        <w:t xml:space="preserve"> </w:t>
      </w:r>
      <w:proofErr w:type="spellStart"/>
      <w:r w:rsidRPr="00EB4C4B">
        <w:rPr>
          <w:color w:val="000000"/>
        </w:rPr>
        <w:t>Service</w:t>
      </w:r>
      <w:proofErr w:type="spellEnd"/>
      <w:r w:rsidRPr="00EB4C4B">
        <w:rPr>
          <w:color w:val="000000"/>
        </w:rPr>
        <w:t xml:space="preserve"> Centre in </w:t>
      </w:r>
      <w:proofErr w:type="spellStart"/>
      <w:r w:rsidRPr="00EB4C4B">
        <w:rPr>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2a,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xml:space="preserve"> and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w:t>
      </w:r>
      <w:r w:rsidR="004C3BA7" w:rsidRPr="00EB4C4B">
        <w:rPr>
          <w:color w:val="000000"/>
        </w:rPr>
        <w:t>ue</w:t>
      </w:r>
      <w:r w:rsidRPr="00EB4C4B">
        <w:rPr>
          <w:color w:val="000000"/>
        </w:rPr>
        <w:t xml:space="preserve">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w:t>
      </w:r>
    </w:p>
    <w:p w14:paraId="131D4607" w14:textId="77777777" w:rsidR="00A7414F" w:rsidRPr="00EB4C4B" w:rsidRDefault="00A7414F" w:rsidP="00EB4C4B">
      <w:pPr>
        <w:pStyle w:val="F2-zkladn"/>
        <w:spacing w:line="276" w:lineRule="auto"/>
        <w:rPr>
          <w:color w:val="000000"/>
        </w:rPr>
      </w:pPr>
    </w:p>
    <w:sectPr w:rsidR="00A7414F" w:rsidRPr="00EB4C4B"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B9A67" w14:textId="77777777" w:rsidR="00794CF3" w:rsidRDefault="00794CF3">
      <w:r>
        <w:separator/>
      </w:r>
    </w:p>
  </w:endnote>
  <w:endnote w:type="continuationSeparator" w:id="0">
    <w:p w14:paraId="7596C52E" w14:textId="77777777" w:rsidR="00794CF3" w:rsidRDefault="0079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F3B3D" w14:textId="77777777" w:rsidR="00794CF3" w:rsidRDefault="00794CF3">
      <w:r>
        <w:separator/>
      </w:r>
    </w:p>
  </w:footnote>
  <w:footnote w:type="continuationSeparator" w:id="0">
    <w:p w14:paraId="0E3668AA" w14:textId="77777777" w:rsidR="00794CF3" w:rsidRDefault="00794CF3">
      <w:r>
        <w:continuationSeparator/>
      </w:r>
    </w:p>
  </w:footnote>
  <w:footnote w:type="continuationNotice" w:id="1">
    <w:p w14:paraId="0C9DC1EE" w14:textId="77777777" w:rsidR="00794CF3" w:rsidRDefault="00794C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5978" w14:textId="77777777"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72F"/>
    <w:rsid w:val="000D3C66"/>
    <w:rsid w:val="000E3678"/>
    <w:rsid w:val="000E3D98"/>
    <w:rsid w:val="000E42A1"/>
    <w:rsid w:val="000E5D25"/>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353C"/>
    <w:rsid w:val="001B489F"/>
    <w:rsid w:val="001B69B7"/>
    <w:rsid w:val="001C5A91"/>
    <w:rsid w:val="001C5DB0"/>
    <w:rsid w:val="001D0D99"/>
    <w:rsid w:val="001D1343"/>
    <w:rsid w:val="001D4B56"/>
    <w:rsid w:val="001D5163"/>
    <w:rsid w:val="001D7A7E"/>
    <w:rsid w:val="001E2936"/>
    <w:rsid w:val="001E476B"/>
    <w:rsid w:val="001E507C"/>
    <w:rsid w:val="001E57AB"/>
    <w:rsid w:val="001E67FF"/>
    <w:rsid w:val="001F4B06"/>
    <w:rsid w:val="001F627F"/>
    <w:rsid w:val="002006D5"/>
    <w:rsid w:val="00201CD7"/>
    <w:rsid w:val="00202F64"/>
    <w:rsid w:val="00206A9C"/>
    <w:rsid w:val="00212DDA"/>
    <w:rsid w:val="0021765E"/>
    <w:rsid w:val="0021778F"/>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3115E"/>
    <w:rsid w:val="00433AB4"/>
    <w:rsid w:val="0043546F"/>
    <w:rsid w:val="004428A1"/>
    <w:rsid w:val="00445D92"/>
    <w:rsid w:val="0045291A"/>
    <w:rsid w:val="00452BD8"/>
    <w:rsid w:val="004544F8"/>
    <w:rsid w:val="00454D44"/>
    <w:rsid w:val="00455259"/>
    <w:rsid w:val="00455A3C"/>
    <w:rsid w:val="0046155B"/>
    <w:rsid w:val="00464475"/>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2B6E"/>
    <w:rsid w:val="00557A71"/>
    <w:rsid w:val="00560AED"/>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5B7"/>
    <w:rsid w:val="005A33F3"/>
    <w:rsid w:val="005A3C0F"/>
    <w:rsid w:val="005A3EC1"/>
    <w:rsid w:val="005B1B79"/>
    <w:rsid w:val="005B2F2A"/>
    <w:rsid w:val="005B6F85"/>
    <w:rsid w:val="005C00A9"/>
    <w:rsid w:val="005C4078"/>
    <w:rsid w:val="005C74D1"/>
    <w:rsid w:val="005C7C7C"/>
    <w:rsid w:val="005D37B5"/>
    <w:rsid w:val="005D49F1"/>
    <w:rsid w:val="005D5B6F"/>
    <w:rsid w:val="005D72C2"/>
    <w:rsid w:val="005D7C68"/>
    <w:rsid w:val="005E1A38"/>
    <w:rsid w:val="005E2179"/>
    <w:rsid w:val="005E2AA8"/>
    <w:rsid w:val="005E45D5"/>
    <w:rsid w:val="005E616C"/>
    <w:rsid w:val="005E6624"/>
    <w:rsid w:val="006031EF"/>
    <w:rsid w:val="006044C8"/>
    <w:rsid w:val="006108D1"/>
    <w:rsid w:val="00611055"/>
    <w:rsid w:val="00612491"/>
    <w:rsid w:val="00614F7E"/>
    <w:rsid w:val="0061601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46FB"/>
    <w:rsid w:val="00705A61"/>
    <w:rsid w:val="007109F6"/>
    <w:rsid w:val="00716604"/>
    <w:rsid w:val="0071719A"/>
    <w:rsid w:val="0071726D"/>
    <w:rsid w:val="007176A7"/>
    <w:rsid w:val="007204B4"/>
    <w:rsid w:val="00720781"/>
    <w:rsid w:val="00723632"/>
    <w:rsid w:val="007238DA"/>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CF3"/>
    <w:rsid w:val="00794E4C"/>
    <w:rsid w:val="007A0160"/>
    <w:rsid w:val="007A4F20"/>
    <w:rsid w:val="007A6AA0"/>
    <w:rsid w:val="007A6B19"/>
    <w:rsid w:val="007B3045"/>
    <w:rsid w:val="007B49DF"/>
    <w:rsid w:val="007B5296"/>
    <w:rsid w:val="007B655B"/>
    <w:rsid w:val="007B7639"/>
    <w:rsid w:val="007C00BA"/>
    <w:rsid w:val="007C18F2"/>
    <w:rsid w:val="007C1AC1"/>
    <w:rsid w:val="007C1FEC"/>
    <w:rsid w:val="007C46D1"/>
    <w:rsid w:val="007C5731"/>
    <w:rsid w:val="007E0A4B"/>
    <w:rsid w:val="007E326A"/>
    <w:rsid w:val="007F1637"/>
    <w:rsid w:val="007F4ABD"/>
    <w:rsid w:val="007F7B5C"/>
    <w:rsid w:val="00800307"/>
    <w:rsid w:val="00800365"/>
    <w:rsid w:val="00800399"/>
    <w:rsid w:val="008014EC"/>
    <w:rsid w:val="008029BA"/>
    <w:rsid w:val="008111C3"/>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4103"/>
    <w:rsid w:val="00B047E9"/>
    <w:rsid w:val="00B05867"/>
    <w:rsid w:val="00B10EC0"/>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4EF0"/>
    <w:rsid w:val="00BC6E99"/>
    <w:rsid w:val="00BC7C00"/>
    <w:rsid w:val="00BD1EFB"/>
    <w:rsid w:val="00BD57C8"/>
    <w:rsid w:val="00BD5879"/>
    <w:rsid w:val="00BD5A0C"/>
    <w:rsid w:val="00BD5B58"/>
    <w:rsid w:val="00BE0E15"/>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3E0"/>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8484-0C10-4180-9A75-B6F6DB13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14898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17388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2021-11-30T09:36:00Z</dcterms:created>
  <dcterms:modified xsi:type="dcterms:W3CDTF">2021-11-30T09:36:00Z</dcterms:modified>
</cp:coreProperties>
</file>